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F5E03" w14:textId="287D11E5" w:rsidR="00B53887" w:rsidRPr="000356DB" w:rsidRDefault="00B53887" w:rsidP="00143583">
      <w:pPr>
        <w:pStyle w:val="Heading2"/>
        <w:numPr>
          <w:ilvl w:val="0"/>
          <w:numId w:val="0"/>
        </w:numPr>
      </w:pPr>
      <w:r w:rsidRPr="000356DB">
        <w:t>Introduction</w:t>
      </w:r>
    </w:p>
    <w:p w14:paraId="453A8D82" w14:textId="44854FB5" w:rsidR="00EC72AF" w:rsidRPr="000356DB" w:rsidRDefault="00F93E5B" w:rsidP="009E6C44">
      <w:r w:rsidRPr="000356DB">
        <w:t xml:space="preserve">A </w:t>
      </w:r>
      <w:r w:rsidRPr="000356DB">
        <w:rPr>
          <w:b/>
          <w:bCs/>
        </w:rPr>
        <w:t xml:space="preserve">circular economy </w:t>
      </w:r>
      <w:r w:rsidR="00E025D4" w:rsidRPr="000356DB">
        <w:rPr>
          <w:b/>
          <w:bCs/>
        </w:rPr>
        <w:t>(CE)</w:t>
      </w:r>
      <w:r w:rsidR="00E025D4" w:rsidRPr="000356DB">
        <w:t xml:space="preserve"> </w:t>
      </w:r>
      <w:r w:rsidRPr="000356DB">
        <w:t>is based on the principles</w:t>
      </w:r>
      <w:r w:rsidR="003E2C72" w:rsidRPr="000356DB">
        <w:t xml:space="preserve"> of designing out waste and pollution, keeping products and materials in use, and </w:t>
      </w:r>
      <w:r w:rsidR="00714306" w:rsidRPr="000356DB">
        <w:t>regenerating</w:t>
      </w:r>
      <w:r w:rsidR="003E2C72" w:rsidRPr="000356DB">
        <w:t xml:space="preserve"> natural </w:t>
      </w:r>
      <w:r w:rsidR="00714306" w:rsidRPr="000356DB">
        <w:t>systems</w:t>
      </w:r>
      <w:r w:rsidR="00714306" w:rsidRPr="000356DB">
        <w:rPr>
          <w:rStyle w:val="FootnoteReference"/>
        </w:rPr>
        <w:footnoteReference w:id="2"/>
      </w:r>
      <w:r w:rsidR="00714306" w:rsidRPr="000356DB">
        <w:t>.</w:t>
      </w:r>
      <w:r w:rsidR="000D0BA0" w:rsidRPr="000356DB">
        <w:t xml:space="preserve"> The </w:t>
      </w:r>
      <w:r w:rsidR="000D0BA0" w:rsidRPr="000356DB">
        <w:rPr>
          <w:b/>
          <w:bCs/>
        </w:rPr>
        <w:t>EU’s Circular Economy Action Plan</w:t>
      </w:r>
      <w:r w:rsidR="00BC5785" w:rsidRPr="000356DB">
        <w:rPr>
          <w:b/>
          <w:bCs/>
        </w:rPr>
        <w:t xml:space="preserve"> (CEAP)</w:t>
      </w:r>
      <w:r w:rsidR="000D0BA0" w:rsidRPr="000356DB">
        <w:t>, launched in 2020, aims to facilitate the EU’s transition to a circular economy</w:t>
      </w:r>
      <w:r w:rsidR="00637592" w:rsidRPr="000356DB">
        <w:t xml:space="preserve"> by establishing a new, regenerative growth model that gives back to the planet more than it takes</w:t>
      </w:r>
      <w:r w:rsidR="00995E56" w:rsidRPr="000356DB">
        <w:t>, maintaining resource consumption within planetary boundaries</w:t>
      </w:r>
      <w:r w:rsidR="00165420" w:rsidRPr="000356DB">
        <w:t>, and minimising waste and pollution</w:t>
      </w:r>
      <w:r w:rsidR="00264733" w:rsidRPr="000356DB">
        <w:rPr>
          <w:rStyle w:val="FootnoteReference"/>
        </w:rPr>
        <w:footnoteReference w:id="3"/>
      </w:r>
      <w:r w:rsidR="00165420" w:rsidRPr="000356DB">
        <w:t>.</w:t>
      </w:r>
      <w:r w:rsidR="000F57B3" w:rsidRPr="000356DB">
        <w:t xml:space="preserve"> Europe’s circular economy ambition provides a policy framework that aims to transform environmental policy in a comprehensive and systemic manner, in line with CE principles.</w:t>
      </w:r>
    </w:p>
    <w:p w14:paraId="54529EE1" w14:textId="33B60312" w:rsidR="009662B9" w:rsidRPr="000356DB" w:rsidRDefault="000F57B3" w:rsidP="009E6C44">
      <w:r w:rsidRPr="000356DB">
        <w:t xml:space="preserve">In this context, the </w:t>
      </w:r>
      <w:r w:rsidRPr="000356DB">
        <w:rPr>
          <w:b/>
          <w:bCs/>
        </w:rPr>
        <w:t>role of consumers</w:t>
      </w:r>
      <w:r w:rsidRPr="000356DB">
        <w:t xml:space="preserve"> in enabling the transition</w:t>
      </w:r>
      <w:r w:rsidR="00793BDA" w:rsidRPr="000356DB">
        <w:t xml:space="preserve"> </w:t>
      </w:r>
      <w:r w:rsidR="00560A43" w:rsidRPr="000356DB">
        <w:t xml:space="preserve">has become </w:t>
      </w:r>
      <w:r w:rsidR="00793BDA" w:rsidRPr="000356DB">
        <w:t>more prominent. Consumer choices and feedback have the potential to affect decisions both upstream (e.</w:t>
      </w:r>
      <w:r w:rsidR="007641B5" w:rsidRPr="000356DB">
        <w:t>g., in terms of material use or product design) and downstream (e.g., in terms of recycling or re-use).</w:t>
      </w:r>
      <w:r w:rsidR="00C8483C" w:rsidRPr="000356DB">
        <w:t xml:space="preserve"> </w:t>
      </w:r>
    </w:p>
    <w:p w14:paraId="68A08C5F" w14:textId="0BAFECA2" w:rsidR="009662B9" w:rsidRPr="000356DB" w:rsidRDefault="009662B9" w:rsidP="009E6C44">
      <w:r w:rsidRPr="000356DB">
        <w:t xml:space="preserve">The table below summarises the intervention points in the lifecycle of the product where the consumer behaviour has a prominent role. </w:t>
      </w:r>
    </w:p>
    <w:tbl>
      <w:tblPr>
        <w:tblStyle w:val="Mainbidtables1"/>
        <w:tblW w:w="0" w:type="auto"/>
        <w:tblLook w:val="04A0" w:firstRow="1" w:lastRow="0" w:firstColumn="1" w:lastColumn="0" w:noHBand="0" w:noVBand="1"/>
      </w:tblPr>
      <w:tblGrid>
        <w:gridCol w:w="9016"/>
      </w:tblGrid>
      <w:tr w:rsidR="00A37506" w:rsidRPr="000356DB" w14:paraId="54CC4B59" w14:textId="77777777" w:rsidTr="002A0D53">
        <w:trPr>
          <w:cnfStyle w:val="100000000000" w:firstRow="1" w:lastRow="0" w:firstColumn="0" w:lastColumn="0" w:oddVBand="0" w:evenVBand="0" w:oddHBand="0" w:evenHBand="0" w:firstRowFirstColumn="0" w:firstRowLastColumn="0" w:lastRowFirstColumn="0" w:lastRowLastColumn="0"/>
        </w:trPr>
        <w:tc>
          <w:tcPr>
            <w:tcW w:w="9060" w:type="dxa"/>
          </w:tcPr>
          <w:p w14:paraId="57403208" w14:textId="77777777" w:rsidR="00A37506" w:rsidRPr="000356DB" w:rsidRDefault="00A37506" w:rsidP="002A0D53">
            <w:pPr>
              <w:autoSpaceDE w:val="0"/>
              <w:autoSpaceDN w:val="0"/>
              <w:adjustRightInd w:val="0"/>
              <w:spacing w:after="0"/>
              <w:rPr>
                <w:b/>
                <w:sz w:val="18"/>
                <w:szCs w:val="18"/>
              </w:rPr>
            </w:pPr>
            <w:r w:rsidRPr="000356DB">
              <w:rPr>
                <w:b/>
                <w:sz w:val="18"/>
                <w:szCs w:val="18"/>
              </w:rPr>
              <w:t>Consumer choices during three different product life cycle phases</w:t>
            </w:r>
          </w:p>
        </w:tc>
      </w:tr>
      <w:tr w:rsidR="00A37506" w:rsidRPr="000356DB" w14:paraId="5456E03B" w14:textId="77777777" w:rsidTr="002A0D53">
        <w:trPr>
          <w:cnfStyle w:val="000000100000" w:firstRow="0" w:lastRow="0" w:firstColumn="0" w:lastColumn="0" w:oddVBand="0" w:evenVBand="0" w:oddHBand="1" w:evenHBand="0" w:firstRowFirstColumn="0" w:firstRowLastColumn="0" w:lastRowFirstColumn="0" w:lastRowLastColumn="0"/>
        </w:trPr>
        <w:tc>
          <w:tcPr>
            <w:tcW w:w="9060" w:type="dxa"/>
          </w:tcPr>
          <w:p w14:paraId="3C738B7F" w14:textId="77777777" w:rsidR="00A37506" w:rsidRPr="000356DB" w:rsidRDefault="00A37506" w:rsidP="002A0D53">
            <w:pPr>
              <w:spacing w:after="0"/>
              <w:rPr>
                <w:sz w:val="18"/>
                <w:szCs w:val="18"/>
              </w:rPr>
            </w:pPr>
            <w:r w:rsidRPr="000356DB">
              <w:rPr>
                <w:sz w:val="18"/>
                <w:szCs w:val="18"/>
              </w:rPr>
              <w:t>Upon purchase:</w:t>
            </w:r>
          </w:p>
          <w:p w14:paraId="37BB4BC6" w14:textId="77777777" w:rsidR="00A37506" w:rsidRPr="000356DB" w:rsidRDefault="00A37506" w:rsidP="00A37506">
            <w:pPr>
              <w:pStyle w:val="ListParagraph"/>
              <w:numPr>
                <w:ilvl w:val="0"/>
                <w:numId w:val="20"/>
              </w:numPr>
              <w:spacing w:after="0"/>
              <w:ind w:left="697" w:hanging="357"/>
              <w:contextualSpacing w:val="0"/>
              <w:rPr>
                <w:sz w:val="18"/>
                <w:szCs w:val="18"/>
              </w:rPr>
            </w:pPr>
            <w:r w:rsidRPr="000356DB">
              <w:rPr>
                <w:sz w:val="18"/>
                <w:szCs w:val="18"/>
              </w:rPr>
              <w:t>Rent a product rather than purchasing it for a short period of use;</w:t>
            </w:r>
          </w:p>
          <w:p w14:paraId="2756AD18" w14:textId="77777777" w:rsidR="00A37506" w:rsidRPr="000356DB" w:rsidRDefault="00A37506" w:rsidP="00A37506">
            <w:pPr>
              <w:pStyle w:val="ListParagraph"/>
              <w:numPr>
                <w:ilvl w:val="0"/>
                <w:numId w:val="20"/>
              </w:numPr>
              <w:spacing w:after="0"/>
              <w:ind w:left="697" w:hanging="357"/>
              <w:contextualSpacing w:val="0"/>
              <w:rPr>
                <w:sz w:val="18"/>
                <w:szCs w:val="18"/>
              </w:rPr>
            </w:pPr>
            <w:r w:rsidRPr="000356DB">
              <w:rPr>
                <w:sz w:val="18"/>
                <w:szCs w:val="18"/>
              </w:rPr>
              <w:t>Purchase second-hand products;</w:t>
            </w:r>
          </w:p>
          <w:p w14:paraId="433B341B" w14:textId="77777777" w:rsidR="00A37506" w:rsidRPr="000356DB" w:rsidRDefault="00A37506" w:rsidP="00A37506">
            <w:pPr>
              <w:pStyle w:val="ListParagraph"/>
              <w:numPr>
                <w:ilvl w:val="0"/>
                <w:numId w:val="20"/>
              </w:numPr>
              <w:spacing w:after="0"/>
              <w:ind w:left="697" w:hanging="357"/>
              <w:contextualSpacing w:val="0"/>
              <w:rPr>
                <w:sz w:val="18"/>
                <w:szCs w:val="18"/>
              </w:rPr>
            </w:pPr>
            <w:r w:rsidRPr="000356DB">
              <w:rPr>
                <w:sz w:val="18"/>
                <w:szCs w:val="18"/>
              </w:rPr>
              <w:t>Purchase re-manufactured products or products including re-used components;</w:t>
            </w:r>
          </w:p>
          <w:p w14:paraId="514AC719" w14:textId="77777777" w:rsidR="00A37506" w:rsidRPr="000356DB" w:rsidRDefault="00A37506" w:rsidP="00A37506">
            <w:pPr>
              <w:pStyle w:val="ListParagraph"/>
              <w:numPr>
                <w:ilvl w:val="0"/>
                <w:numId w:val="20"/>
              </w:numPr>
              <w:spacing w:after="0"/>
              <w:ind w:left="697" w:hanging="357"/>
              <w:contextualSpacing w:val="0"/>
              <w:rPr>
                <w:sz w:val="18"/>
                <w:szCs w:val="18"/>
              </w:rPr>
            </w:pPr>
            <w:r w:rsidRPr="000356DB">
              <w:rPr>
                <w:sz w:val="18"/>
                <w:szCs w:val="18"/>
              </w:rPr>
              <w:t>Purchase products using recycled materials;</w:t>
            </w:r>
          </w:p>
          <w:p w14:paraId="3CC4FB60" w14:textId="77777777" w:rsidR="00A37506" w:rsidRPr="000356DB" w:rsidRDefault="00A37506" w:rsidP="00A37506">
            <w:pPr>
              <w:pStyle w:val="ListParagraph"/>
              <w:numPr>
                <w:ilvl w:val="0"/>
                <w:numId w:val="20"/>
              </w:numPr>
              <w:spacing w:after="0"/>
              <w:ind w:left="697" w:hanging="357"/>
              <w:contextualSpacing w:val="0"/>
              <w:rPr>
                <w:sz w:val="18"/>
                <w:szCs w:val="18"/>
              </w:rPr>
            </w:pPr>
            <w:r w:rsidRPr="000356DB">
              <w:rPr>
                <w:sz w:val="18"/>
                <w:szCs w:val="18"/>
              </w:rPr>
              <w:t>Consider the environmental impact of products, via relevant, trustworthy and comparable information such as labels;</w:t>
            </w:r>
          </w:p>
          <w:p w14:paraId="6BEC5DED" w14:textId="77777777" w:rsidR="00A37506" w:rsidRPr="000356DB" w:rsidRDefault="00A37506" w:rsidP="00A37506">
            <w:pPr>
              <w:pStyle w:val="ListParagraph"/>
              <w:numPr>
                <w:ilvl w:val="0"/>
                <w:numId w:val="20"/>
              </w:numPr>
              <w:spacing w:after="0"/>
              <w:ind w:left="697" w:hanging="357"/>
              <w:contextualSpacing w:val="0"/>
              <w:rPr>
                <w:sz w:val="18"/>
                <w:szCs w:val="18"/>
              </w:rPr>
            </w:pPr>
            <w:r w:rsidRPr="000356DB">
              <w:rPr>
                <w:sz w:val="18"/>
                <w:szCs w:val="18"/>
              </w:rPr>
              <w:t>Follow an economic incentive (such as tax breaks) to purchase products that are more sustainable;</w:t>
            </w:r>
          </w:p>
          <w:p w14:paraId="65DC34F2" w14:textId="77777777" w:rsidR="00A37506" w:rsidRPr="000356DB" w:rsidRDefault="00A37506" w:rsidP="002A0D53">
            <w:pPr>
              <w:spacing w:after="0"/>
              <w:rPr>
                <w:sz w:val="18"/>
                <w:szCs w:val="18"/>
              </w:rPr>
            </w:pPr>
            <w:r w:rsidRPr="000356DB">
              <w:rPr>
                <w:sz w:val="18"/>
                <w:szCs w:val="18"/>
              </w:rPr>
              <w:t>During the use phase:</w:t>
            </w:r>
          </w:p>
          <w:p w14:paraId="4BE81ED3" w14:textId="2BA77C00" w:rsidR="00A37506" w:rsidRPr="000356DB" w:rsidRDefault="00A37506" w:rsidP="00A37506">
            <w:pPr>
              <w:pStyle w:val="ListParagraph"/>
              <w:numPr>
                <w:ilvl w:val="0"/>
                <w:numId w:val="21"/>
              </w:numPr>
              <w:spacing w:after="0"/>
              <w:ind w:left="714" w:hanging="357"/>
              <w:contextualSpacing w:val="0"/>
              <w:rPr>
                <w:sz w:val="18"/>
                <w:szCs w:val="18"/>
              </w:rPr>
            </w:pPr>
            <w:r w:rsidRPr="000356DB">
              <w:rPr>
                <w:sz w:val="18"/>
                <w:szCs w:val="18"/>
              </w:rPr>
              <w:t xml:space="preserve">Follow the user instructions </w:t>
            </w:r>
            <w:r w:rsidR="00F03409">
              <w:rPr>
                <w:sz w:val="18"/>
                <w:szCs w:val="18"/>
              </w:rPr>
              <w:t xml:space="preserve">(maintenance) </w:t>
            </w:r>
            <w:r w:rsidRPr="000356DB">
              <w:rPr>
                <w:sz w:val="18"/>
                <w:szCs w:val="18"/>
              </w:rPr>
              <w:t xml:space="preserve">to increase the lifetime </w:t>
            </w:r>
            <w:r w:rsidR="0000486C">
              <w:rPr>
                <w:sz w:val="18"/>
                <w:szCs w:val="18"/>
              </w:rPr>
              <w:t>and/or to reduce the energy consumption</w:t>
            </w:r>
            <w:r w:rsidR="00D714CA">
              <w:rPr>
                <w:sz w:val="18"/>
                <w:szCs w:val="18"/>
              </w:rPr>
              <w:t xml:space="preserve"> of the product (or the use of other resources)</w:t>
            </w:r>
            <w:r w:rsidRPr="000356DB">
              <w:rPr>
                <w:sz w:val="18"/>
                <w:szCs w:val="18"/>
              </w:rPr>
              <w:t>;</w:t>
            </w:r>
          </w:p>
          <w:p w14:paraId="6F00E7FC" w14:textId="77777777" w:rsidR="00A37506" w:rsidRPr="000356DB" w:rsidRDefault="00A37506" w:rsidP="00A37506">
            <w:pPr>
              <w:pStyle w:val="ListParagraph"/>
              <w:numPr>
                <w:ilvl w:val="0"/>
                <w:numId w:val="21"/>
              </w:numPr>
              <w:spacing w:after="0"/>
              <w:ind w:left="714" w:hanging="357"/>
              <w:contextualSpacing w:val="0"/>
              <w:rPr>
                <w:sz w:val="18"/>
                <w:szCs w:val="18"/>
              </w:rPr>
            </w:pPr>
            <w:r w:rsidRPr="000356DB">
              <w:rPr>
                <w:sz w:val="18"/>
                <w:szCs w:val="18"/>
              </w:rPr>
              <w:t>Perform regular maintenance operations on the product (or have them performed by a professional);</w:t>
            </w:r>
          </w:p>
          <w:p w14:paraId="10D09B0C" w14:textId="77777777" w:rsidR="00A37506" w:rsidRPr="000356DB" w:rsidRDefault="00A37506" w:rsidP="00A37506">
            <w:pPr>
              <w:pStyle w:val="ListParagraph"/>
              <w:numPr>
                <w:ilvl w:val="0"/>
                <w:numId w:val="21"/>
              </w:numPr>
              <w:spacing w:after="0"/>
              <w:ind w:left="714" w:hanging="357"/>
              <w:contextualSpacing w:val="0"/>
              <w:rPr>
                <w:sz w:val="18"/>
                <w:szCs w:val="18"/>
              </w:rPr>
            </w:pPr>
            <w:r w:rsidRPr="000356DB">
              <w:rPr>
                <w:sz w:val="18"/>
                <w:szCs w:val="18"/>
              </w:rPr>
              <w:t>Repair the product when out of service (or have it repaired by a professional);</w:t>
            </w:r>
          </w:p>
          <w:p w14:paraId="2DD8CF70" w14:textId="77777777" w:rsidR="00A37506" w:rsidRPr="000356DB" w:rsidRDefault="00A37506" w:rsidP="00A37506">
            <w:pPr>
              <w:pStyle w:val="ListParagraph"/>
              <w:numPr>
                <w:ilvl w:val="0"/>
                <w:numId w:val="21"/>
              </w:numPr>
              <w:spacing w:after="0"/>
              <w:ind w:left="714" w:hanging="357"/>
              <w:contextualSpacing w:val="0"/>
              <w:rPr>
                <w:sz w:val="18"/>
                <w:szCs w:val="18"/>
              </w:rPr>
            </w:pPr>
            <w:r w:rsidRPr="000356DB">
              <w:rPr>
                <w:sz w:val="18"/>
                <w:szCs w:val="18"/>
              </w:rPr>
              <w:t>Upgrade the product when new technological developments arise;</w:t>
            </w:r>
          </w:p>
          <w:p w14:paraId="719AB860" w14:textId="77777777" w:rsidR="00A37506" w:rsidRPr="000356DB" w:rsidRDefault="00A37506" w:rsidP="002A0D53">
            <w:pPr>
              <w:spacing w:after="0"/>
              <w:rPr>
                <w:sz w:val="18"/>
                <w:szCs w:val="18"/>
              </w:rPr>
            </w:pPr>
            <w:r w:rsidRPr="000356DB">
              <w:rPr>
                <w:sz w:val="18"/>
                <w:szCs w:val="18"/>
              </w:rPr>
              <w:t>When the product is not needed any longer:</w:t>
            </w:r>
          </w:p>
          <w:p w14:paraId="57A04005" w14:textId="5FF63307" w:rsidR="00A37506" w:rsidRPr="000356DB" w:rsidRDefault="00D0081F" w:rsidP="00A37506">
            <w:pPr>
              <w:pStyle w:val="ListParagraph"/>
              <w:numPr>
                <w:ilvl w:val="0"/>
                <w:numId w:val="21"/>
              </w:numPr>
              <w:spacing w:after="0"/>
              <w:contextualSpacing w:val="0"/>
              <w:rPr>
                <w:sz w:val="18"/>
                <w:szCs w:val="18"/>
              </w:rPr>
            </w:pPr>
            <w:r>
              <w:rPr>
                <w:sz w:val="18"/>
                <w:szCs w:val="18"/>
              </w:rPr>
              <w:t>Sell or donate</w:t>
            </w:r>
            <w:r w:rsidR="00F024D7">
              <w:rPr>
                <w:sz w:val="18"/>
                <w:szCs w:val="18"/>
              </w:rPr>
              <w:t xml:space="preserve"> </w:t>
            </w:r>
            <w:r w:rsidR="00A37506" w:rsidRPr="000356DB">
              <w:rPr>
                <w:sz w:val="18"/>
                <w:szCs w:val="18"/>
              </w:rPr>
              <w:t xml:space="preserve">the product </w:t>
            </w:r>
            <w:r w:rsidR="00F024D7">
              <w:rPr>
                <w:sz w:val="18"/>
                <w:szCs w:val="18"/>
              </w:rPr>
              <w:t>as second-hand item</w:t>
            </w:r>
            <w:r w:rsidR="00A37506" w:rsidRPr="000356DB">
              <w:rPr>
                <w:sz w:val="18"/>
                <w:szCs w:val="18"/>
              </w:rPr>
              <w:t xml:space="preserve"> (on-line or off-line);</w:t>
            </w:r>
          </w:p>
          <w:p w14:paraId="39C4F77A" w14:textId="29C248F2" w:rsidR="00A37506" w:rsidRPr="000356DB" w:rsidRDefault="00A37506" w:rsidP="00A37506">
            <w:pPr>
              <w:pStyle w:val="ListParagraph"/>
              <w:keepNext/>
              <w:numPr>
                <w:ilvl w:val="0"/>
                <w:numId w:val="21"/>
              </w:numPr>
              <w:spacing w:after="0"/>
              <w:contextualSpacing w:val="0"/>
              <w:rPr>
                <w:sz w:val="18"/>
                <w:szCs w:val="18"/>
              </w:rPr>
            </w:pPr>
            <w:r w:rsidRPr="000356DB">
              <w:rPr>
                <w:sz w:val="18"/>
                <w:szCs w:val="18"/>
              </w:rPr>
              <w:t>Bring the product to a dedicated waste collection point</w:t>
            </w:r>
            <w:r w:rsidR="00F024D7">
              <w:rPr>
                <w:sz w:val="18"/>
                <w:szCs w:val="18"/>
              </w:rPr>
              <w:t>, so that</w:t>
            </w:r>
            <w:r w:rsidRPr="000356DB">
              <w:rPr>
                <w:sz w:val="18"/>
                <w:szCs w:val="18"/>
              </w:rPr>
              <w:t xml:space="preserve"> it </w:t>
            </w:r>
            <w:r w:rsidR="008072C4">
              <w:rPr>
                <w:sz w:val="18"/>
                <w:szCs w:val="18"/>
              </w:rPr>
              <w:t>can</w:t>
            </w:r>
            <w:r w:rsidRPr="000356DB">
              <w:rPr>
                <w:sz w:val="18"/>
                <w:szCs w:val="18"/>
              </w:rPr>
              <w:t xml:space="preserve"> be managed to maintain its value (re-use, re-manufacture, high-quality recycling).</w:t>
            </w:r>
          </w:p>
        </w:tc>
      </w:tr>
    </w:tbl>
    <w:p w14:paraId="7715AAA3" w14:textId="77777777" w:rsidR="00A37506" w:rsidRPr="000356DB" w:rsidRDefault="00A37506" w:rsidP="009E6C44"/>
    <w:p w14:paraId="1CC18DAD" w14:textId="1D75362C" w:rsidR="000F57B3" w:rsidRPr="000356DB" w:rsidRDefault="00BB0BCC" w:rsidP="009E6C44">
      <w:r w:rsidRPr="000356DB">
        <w:t xml:space="preserve">Consumption is </w:t>
      </w:r>
      <w:r w:rsidR="008C748D" w:rsidRPr="000356DB">
        <w:t xml:space="preserve">strongly influenced by and embedded in certain prevailing systems, i.e., infrastructure, </w:t>
      </w:r>
      <w:r w:rsidR="00A65C4C" w:rsidRPr="000356DB">
        <w:t xml:space="preserve">product </w:t>
      </w:r>
      <w:r w:rsidR="00812D48">
        <w:t>availability</w:t>
      </w:r>
      <w:r w:rsidR="00A65C4C" w:rsidRPr="000356DB">
        <w:t xml:space="preserve">, </w:t>
      </w:r>
      <w:r w:rsidR="009F32B3">
        <w:t xml:space="preserve">product information, </w:t>
      </w:r>
      <w:r w:rsidR="00A65C4C" w:rsidRPr="000356DB">
        <w:t>economic incentives, societal norms and habits, and consumer perceptions and values. However, research on this topic is growing and more can be learned on consumer behaviour</w:t>
      </w:r>
      <w:r w:rsidR="00D4723E" w:rsidRPr="000356DB">
        <w:t xml:space="preserve"> in relation to CE practices.</w:t>
      </w:r>
    </w:p>
    <w:p w14:paraId="5AF66F3D" w14:textId="1215EABB" w:rsidR="00BC5785" w:rsidRPr="000356DB" w:rsidRDefault="00BC5785" w:rsidP="009E6C44">
      <w:r w:rsidRPr="000356DB">
        <w:t>The EU CEAP</w:t>
      </w:r>
      <w:r w:rsidR="004B56E1" w:rsidRPr="000356DB">
        <w:t xml:space="preserve"> fore</w:t>
      </w:r>
      <w:r w:rsidR="001351D4" w:rsidRPr="000356DB">
        <w:t>sees a number of</w:t>
      </w:r>
      <w:r w:rsidR="009E49B3" w:rsidRPr="000356DB">
        <w:t xml:space="preserve"> EU-wide</w:t>
      </w:r>
      <w:r w:rsidR="001351D4" w:rsidRPr="000356DB">
        <w:t xml:space="preserve"> initiatives to empower consumers to fully exploit their enabling potential, however, we are int</w:t>
      </w:r>
      <w:r w:rsidR="00E93344" w:rsidRPr="000356DB">
        <w:t xml:space="preserve">erested in learning more about </w:t>
      </w:r>
      <w:r w:rsidR="00EC1007" w:rsidRPr="000356DB">
        <w:rPr>
          <w:b/>
          <w:bCs/>
        </w:rPr>
        <w:t>innovative</w:t>
      </w:r>
      <w:r w:rsidR="009A17A8" w:rsidRPr="000356DB">
        <w:t xml:space="preserve"> </w:t>
      </w:r>
      <w:r w:rsidR="00E4788F" w:rsidRPr="000356DB">
        <w:rPr>
          <w:b/>
          <w:bCs/>
        </w:rPr>
        <w:t xml:space="preserve">public </w:t>
      </w:r>
      <w:r w:rsidR="00E93344" w:rsidRPr="000356DB">
        <w:rPr>
          <w:b/>
          <w:bCs/>
        </w:rPr>
        <w:t>polic</w:t>
      </w:r>
      <w:r w:rsidR="00E4788F" w:rsidRPr="000356DB">
        <w:rPr>
          <w:b/>
          <w:bCs/>
        </w:rPr>
        <w:t>ie</w:t>
      </w:r>
      <w:r w:rsidR="00E93344" w:rsidRPr="000356DB">
        <w:rPr>
          <w:b/>
          <w:bCs/>
        </w:rPr>
        <w:t>s</w:t>
      </w:r>
      <w:r w:rsidR="00E93344" w:rsidRPr="000356DB">
        <w:t xml:space="preserve"> </w:t>
      </w:r>
      <w:r w:rsidR="00EF0BDC" w:rsidRPr="000356DB">
        <w:t>(i.e.,</w:t>
      </w:r>
      <w:r w:rsidR="00D1740A" w:rsidRPr="000356DB">
        <w:t xml:space="preserve"> including policies</w:t>
      </w:r>
      <w:r w:rsidR="00EF0BDC" w:rsidRPr="000356DB">
        <w:t xml:space="preserve"> beyond labelling) </w:t>
      </w:r>
      <w:r w:rsidR="00E93344" w:rsidRPr="000356DB">
        <w:t xml:space="preserve">that can stimulate circular behaviour </w:t>
      </w:r>
      <w:r w:rsidR="00273F9A" w:rsidRPr="000356DB">
        <w:t>at national or sub-national levels</w:t>
      </w:r>
      <w:r w:rsidR="007F309C" w:rsidRPr="000356DB">
        <w:t>.</w:t>
      </w:r>
    </w:p>
    <w:p w14:paraId="1DE5B1AF" w14:textId="16C12B09" w:rsidR="00B73960" w:rsidRPr="000356DB" w:rsidRDefault="009E6C44" w:rsidP="009A17A8">
      <w:pPr>
        <w:rPr>
          <w:highlight w:val="yellow"/>
        </w:rPr>
      </w:pPr>
      <w:r w:rsidRPr="000356DB">
        <w:t xml:space="preserve">This survey </w:t>
      </w:r>
      <w:r w:rsidR="00A858EE" w:rsidRPr="000356DB">
        <w:t xml:space="preserve">has been designed to collect evidence </w:t>
      </w:r>
      <w:r w:rsidR="000E540C" w:rsidRPr="000356DB">
        <w:t>for a</w:t>
      </w:r>
      <w:r w:rsidR="00FF0ED4">
        <w:t>n EEA</w:t>
      </w:r>
      <w:r w:rsidR="000E540C" w:rsidRPr="000356DB">
        <w:t xml:space="preserve"> study on the role of consumers in </w:t>
      </w:r>
      <w:r w:rsidR="001A5DD4" w:rsidRPr="000356DB">
        <w:t>the CE</w:t>
      </w:r>
      <w:r w:rsidR="00BD5878" w:rsidRPr="000356DB">
        <w:t xml:space="preserve"> and how public policies can stimulate circular behaviour</w:t>
      </w:r>
      <w:r w:rsidR="001A5DD4" w:rsidRPr="000356DB">
        <w:t xml:space="preserve">. </w:t>
      </w:r>
      <w:r w:rsidR="004C3955" w:rsidRPr="000356DB">
        <w:t xml:space="preserve">We invite you to please share your views </w:t>
      </w:r>
      <w:r w:rsidR="00EE5E8F" w:rsidRPr="000356DB">
        <w:t>on this topic, regardless of your level of expertise.</w:t>
      </w:r>
      <w:r w:rsidR="005731EC" w:rsidRPr="000356DB">
        <w:t xml:space="preserve"> </w:t>
      </w:r>
    </w:p>
    <w:p w14:paraId="48FDF3CB" w14:textId="6003E1FC" w:rsidR="00803CF1" w:rsidRPr="000356DB" w:rsidRDefault="00803CF1" w:rsidP="009E6C44">
      <w:r w:rsidRPr="000356DB">
        <w:lastRenderedPageBreak/>
        <w:t xml:space="preserve">Please note that your responses will be handled with </w:t>
      </w:r>
      <w:r w:rsidR="00774B5A" w:rsidRPr="000356DB">
        <w:t xml:space="preserve">confidentiality, and in line with the EU’s </w:t>
      </w:r>
      <w:r w:rsidR="00544492" w:rsidRPr="000356DB">
        <w:t>General Data Protection Regulation (GDPR) rules</w:t>
      </w:r>
      <w:r w:rsidR="00007882" w:rsidRPr="000356DB">
        <w:rPr>
          <w:rStyle w:val="FootnoteReference"/>
        </w:rPr>
        <w:footnoteReference w:id="4"/>
      </w:r>
      <w:r w:rsidR="00544492" w:rsidRPr="000356DB">
        <w:t>.</w:t>
      </w:r>
      <w:r w:rsidR="002B72EA" w:rsidRPr="000356DB">
        <w:t xml:space="preserve"> The</w:t>
      </w:r>
      <w:r w:rsidR="00351B7D" w:rsidRPr="000356DB">
        <w:t xml:space="preserve"> individual</w:t>
      </w:r>
      <w:r w:rsidR="002B72EA" w:rsidRPr="000356DB">
        <w:t xml:space="preserve"> responses to the survey </w:t>
      </w:r>
      <w:r w:rsidR="002B72EA" w:rsidRPr="000356DB">
        <w:rPr>
          <w:b/>
          <w:bCs/>
        </w:rPr>
        <w:t>will be used internally by the project team</w:t>
      </w:r>
      <w:r w:rsidR="002B72EA" w:rsidRPr="000356DB">
        <w:t>, and will not be published.</w:t>
      </w:r>
      <w:r w:rsidR="00351B7D" w:rsidRPr="000356DB">
        <w:t xml:space="preserve"> We will publish a summary of the findings in the report, </w:t>
      </w:r>
      <w:r w:rsidR="00BA3285" w:rsidRPr="000356DB">
        <w:t>which will consider the aggregated responses.</w:t>
      </w:r>
    </w:p>
    <w:p w14:paraId="280A6530" w14:textId="2DF147A1" w:rsidR="003A1907" w:rsidRPr="000356DB" w:rsidRDefault="009937A4" w:rsidP="009E6C44">
      <w:r w:rsidRPr="000356DB">
        <w:t>On behalf of the project team, we t</w:t>
      </w:r>
      <w:r w:rsidR="00714CEB" w:rsidRPr="000356DB">
        <w:t>hank you</w:t>
      </w:r>
      <w:r w:rsidRPr="000356DB">
        <w:t xml:space="preserve"> very much</w:t>
      </w:r>
      <w:r w:rsidR="00714CEB" w:rsidRPr="000356DB">
        <w:t xml:space="preserve"> for taking the time to </w:t>
      </w:r>
      <w:r w:rsidR="00D84D92" w:rsidRPr="000356DB">
        <w:t>complete</w:t>
      </w:r>
      <w:r w:rsidR="00714CEB" w:rsidRPr="000356DB">
        <w:t xml:space="preserve"> this survey</w:t>
      </w:r>
      <w:r w:rsidRPr="000356DB">
        <w:t>!</w:t>
      </w:r>
    </w:p>
    <w:p w14:paraId="42A88E9B" w14:textId="77777777" w:rsidR="00B5673B" w:rsidRPr="000356DB" w:rsidRDefault="00B5673B" w:rsidP="009E6C44"/>
    <w:p w14:paraId="68A43B4D" w14:textId="4CCFF273" w:rsidR="006F75B4" w:rsidRPr="000356DB" w:rsidRDefault="006F75B4" w:rsidP="00B95476">
      <w:pPr>
        <w:pStyle w:val="Heading2"/>
        <w:numPr>
          <w:ilvl w:val="0"/>
          <w:numId w:val="0"/>
        </w:numPr>
        <w:ind w:left="576" w:hanging="576"/>
      </w:pPr>
      <w:r w:rsidRPr="000356DB">
        <w:t xml:space="preserve">Section I: </w:t>
      </w:r>
      <w:r w:rsidR="001B5135" w:rsidRPr="000356DB">
        <w:t>Public policies aimed at stimulating circular behaviour</w:t>
      </w:r>
    </w:p>
    <w:p w14:paraId="3EFFFD41" w14:textId="4256DF10" w:rsidR="00D216B0" w:rsidRPr="000356DB" w:rsidRDefault="001565D2" w:rsidP="00D216B0">
      <w:r w:rsidRPr="000356DB">
        <w:t xml:space="preserve">Q2.1. Thinking about </w:t>
      </w:r>
      <w:r w:rsidRPr="000356DB">
        <w:rPr>
          <w:b/>
          <w:bCs/>
        </w:rPr>
        <w:t>public policies</w:t>
      </w:r>
      <w:r w:rsidRPr="000356DB">
        <w:t xml:space="preserve"> that aim to stimulate circular behaviour</w:t>
      </w:r>
      <w:r w:rsidR="002C3719">
        <w:t xml:space="preserve"> </w:t>
      </w:r>
      <w:r w:rsidR="002C3719" w:rsidRPr="002C3719">
        <w:rPr>
          <w:b/>
        </w:rPr>
        <w:t>in general</w:t>
      </w:r>
      <w:r w:rsidRPr="000356DB">
        <w:t xml:space="preserve">, what are some examples of public policies in your country? </w:t>
      </w:r>
      <w:r w:rsidR="00D216B0" w:rsidRPr="000356DB">
        <w:t>Please provide examples in the table below (including name, reference, and link to the policy measure, as applicable). Do you have any supporting evidence to accompany the policy measure(s) you cited above (e.g., studies, evaluations, impact assessments, brochures)?</w:t>
      </w:r>
    </w:p>
    <w:p w14:paraId="3E1389F9" w14:textId="58ED401D" w:rsidR="001565D2" w:rsidRPr="00EE5B0F" w:rsidRDefault="001565D2" w:rsidP="001565D2">
      <w:pPr>
        <w:rPr>
          <w:bCs/>
        </w:rPr>
      </w:pPr>
      <w:r w:rsidRPr="000356DB">
        <w:t xml:space="preserve">Consider the categories listed below, or provide additional examples (not falling into any of the existing categories) in the “Other” category. If you think of relevant examples in other countries (worldwide), please include these examples as well (specifying the country). </w:t>
      </w:r>
      <w:r w:rsidRPr="000356DB">
        <w:rPr>
          <w:b/>
          <w:bCs/>
        </w:rPr>
        <w:t>You can share supporting evidence in any EEA language</w:t>
      </w:r>
      <w:r w:rsidR="00575D6F">
        <w:rPr>
          <w:b/>
          <w:bCs/>
        </w:rPr>
        <w:t xml:space="preserve"> </w:t>
      </w:r>
      <w:r w:rsidR="00575D6F" w:rsidRPr="00954F3C">
        <w:t xml:space="preserve">but if English versions/summaries are available, we would </w:t>
      </w:r>
      <w:r w:rsidR="009F1EFF" w:rsidRPr="00954F3C">
        <w:t>b</w:t>
      </w:r>
      <w:r w:rsidR="009F1EFF" w:rsidRPr="00B842F8">
        <w:t>e grateful to receive them</w:t>
      </w:r>
      <w:r w:rsidRPr="00EE5B0F">
        <w:rPr>
          <w:bCs/>
        </w:rPr>
        <w:t>.</w:t>
      </w:r>
    </w:p>
    <w:p w14:paraId="34038161" w14:textId="6196071A" w:rsidR="00EE5B0F" w:rsidRPr="00EE5B0F" w:rsidRDefault="00EE5B0F" w:rsidP="001565D2">
      <w:pPr>
        <w:rPr>
          <w:bCs/>
        </w:rPr>
      </w:pPr>
      <w:r w:rsidRPr="00EE5B0F">
        <w:rPr>
          <w:bCs/>
        </w:rPr>
        <w:t xml:space="preserve">We are primarily interested in policies implemented at </w:t>
      </w:r>
      <w:r w:rsidRPr="00EE5B0F">
        <w:rPr>
          <w:b/>
          <w:bCs/>
        </w:rPr>
        <w:t>national</w:t>
      </w:r>
      <w:r w:rsidRPr="00EE5B0F">
        <w:rPr>
          <w:bCs/>
        </w:rPr>
        <w:t xml:space="preserve"> level, but if you are aware of </w:t>
      </w:r>
      <w:r w:rsidRPr="00EE5B0F">
        <w:rPr>
          <w:b/>
          <w:bCs/>
        </w:rPr>
        <w:t>regional</w:t>
      </w:r>
      <w:r w:rsidRPr="00EE5B0F">
        <w:rPr>
          <w:bCs/>
        </w:rPr>
        <w:t xml:space="preserve"> examples that have a potential for replication, please share those with us too. </w:t>
      </w:r>
    </w:p>
    <w:p w14:paraId="5D954DA6" w14:textId="3B972053" w:rsidR="00EE5B0F" w:rsidRPr="00EE5B0F" w:rsidRDefault="00EE5B0F" w:rsidP="001565D2">
      <w:r w:rsidRPr="00EE5B0F">
        <w:rPr>
          <w:bCs/>
        </w:rPr>
        <w:t>You are welcome to fill in many examples in each cell of the table below</w:t>
      </w:r>
      <w:r w:rsidR="00B842F8">
        <w:rPr>
          <w:bCs/>
        </w:rPr>
        <w:t>, using bullet points</w:t>
      </w:r>
      <w:r w:rsidRPr="00EE5B0F">
        <w:rPr>
          <w:bCs/>
        </w:rPr>
        <w:t xml:space="preserve">. </w:t>
      </w:r>
      <w:r w:rsidR="00056248">
        <w:rPr>
          <w:bCs/>
        </w:rPr>
        <w:t xml:space="preserve">These examples might, for instance, be addressing behaviours related to different products, such as clothing or electronics. </w:t>
      </w:r>
    </w:p>
    <w:tbl>
      <w:tblPr>
        <w:tblStyle w:val="Mainbidtables1"/>
        <w:tblW w:w="0" w:type="auto"/>
        <w:tblLook w:val="04A0" w:firstRow="1" w:lastRow="0" w:firstColumn="1" w:lastColumn="0" w:noHBand="0" w:noVBand="1"/>
      </w:tblPr>
      <w:tblGrid>
        <w:gridCol w:w="3005"/>
        <w:gridCol w:w="3005"/>
        <w:gridCol w:w="3006"/>
      </w:tblGrid>
      <w:tr w:rsidR="00634A1F" w:rsidRPr="000356DB" w14:paraId="35053EC5" w14:textId="77777777" w:rsidTr="000356DB">
        <w:trPr>
          <w:cnfStyle w:val="100000000000" w:firstRow="1" w:lastRow="0" w:firstColumn="0" w:lastColumn="0" w:oddVBand="0" w:evenVBand="0" w:oddHBand="0" w:evenHBand="0" w:firstRowFirstColumn="0" w:firstRowLastColumn="0" w:lastRowFirstColumn="0" w:lastRowLastColumn="0"/>
        </w:trPr>
        <w:tc>
          <w:tcPr>
            <w:tcW w:w="0" w:type="dxa"/>
          </w:tcPr>
          <w:p w14:paraId="5208971C" w14:textId="14037D92" w:rsidR="00634A1F" w:rsidRPr="000356DB" w:rsidRDefault="00A349DB" w:rsidP="000356DB">
            <w:pPr>
              <w:jc w:val="center"/>
            </w:pPr>
            <w:r w:rsidRPr="000356DB">
              <w:t>Type of public policy</w:t>
            </w:r>
          </w:p>
        </w:tc>
        <w:tc>
          <w:tcPr>
            <w:tcW w:w="0" w:type="dxa"/>
          </w:tcPr>
          <w:p w14:paraId="2E99F925" w14:textId="165EFD58" w:rsidR="00634A1F" w:rsidRPr="000356DB" w:rsidRDefault="005224E1" w:rsidP="000356DB">
            <w:pPr>
              <w:jc w:val="center"/>
            </w:pPr>
            <w:r w:rsidRPr="000356DB">
              <w:t>Public policy (name, reference, link to official text)</w:t>
            </w:r>
          </w:p>
        </w:tc>
        <w:tc>
          <w:tcPr>
            <w:tcW w:w="0" w:type="dxa"/>
          </w:tcPr>
          <w:p w14:paraId="63F7D077" w14:textId="33B31433" w:rsidR="00634A1F" w:rsidRPr="000356DB" w:rsidRDefault="005224E1" w:rsidP="000356DB">
            <w:pPr>
              <w:jc w:val="center"/>
            </w:pPr>
            <w:r w:rsidRPr="000356DB">
              <w:t>Supporting evidence</w:t>
            </w:r>
            <w:r w:rsidR="00B937B0" w:rsidRPr="000356DB">
              <w:t xml:space="preserve"> </w:t>
            </w:r>
            <w:r w:rsidR="007F67FC" w:rsidRPr="000356DB">
              <w:t>(please include link or reference details)</w:t>
            </w:r>
            <w:r w:rsidR="001B34C5" w:rsidRPr="000356DB">
              <w:t>, if applicable,</w:t>
            </w:r>
            <w:r w:rsidR="00651CFD" w:rsidRPr="000356DB">
              <w:t xml:space="preserve"> and description of the public policy in relation to the circular economy</w:t>
            </w:r>
          </w:p>
        </w:tc>
      </w:tr>
      <w:tr w:rsidR="00634A1F" w:rsidRPr="000356DB" w14:paraId="06B9ACEC" w14:textId="77777777" w:rsidTr="000356DB">
        <w:trPr>
          <w:cnfStyle w:val="000000100000" w:firstRow="0" w:lastRow="0" w:firstColumn="0" w:lastColumn="0" w:oddVBand="0" w:evenVBand="0" w:oddHBand="1" w:evenHBand="0" w:firstRowFirstColumn="0" w:firstRowLastColumn="0" w:lastRowFirstColumn="0" w:lastRowLastColumn="0"/>
        </w:trPr>
        <w:tc>
          <w:tcPr>
            <w:tcW w:w="0" w:type="dxa"/>
          </w:tcPr>
          <w:p w14:paraId="2545E7BB" w14:textId="0AB19633" w:rsidR="00634A1F" w:rsidRPr="000356DB" w:rsidRDefault="00EC3920" w:rsidP="000356DB">
            <w:pPr>
              <w:jc w:val="center"/>
            </w:pPr>
            <w:r w:rsidRPr="000356DB">
              <w:t>Labelling initiatives or indices</w:t>
            </w:r>
          </w:p>
        </w:tc>
        <w:tc>
          <w:tcPr>
            <w:tcW w:w="0" w:type="dxa"/>
          </w:tcPr>
          <w:p w14:paraId="05D7B473" w14:textId="77777777" w:rsidR="00634A1F" w:rsidRPr="000356DB" w:rsidRDefault="00634A1F" w:rsidP="000356DB">
            <w:pPr>
              <w:jc w:val="center"/>
            </w:pPr>
          </w:p>
        </w:tc>
        <w:tc>
          <w:tcPr>
            <w:tcW w:w="0" w:type="dxa"/>
          </w:tcPr>
          <w:p w14:paraId="3F324624" w14:textId="77777777" w:rsidR="00634A1F" w:rsidRPr="000356DB" w:rsidRDefault="00634A1F" w:rsidP="000356DB">
            <w:pPr>
              <w:jc w:val="center"/>
            </w:pPr>
          </w:p>
        </w:tc>
      </w:tr>
      <w:tr w:rsidR="00634A1F" w:rsidRPr="000356DB" w14:paraId="6D5D078D" w14:textId="77777777" w:rsidTr="000356DB">
        <w:trPr>
          <w:cnfStyle w:val="000000010000" w:firstRow="0" w:lastRow="0" w:firstColumn="0" w:lastColumn="0" w:oddVBand="0" w:evenVBand="0" w:oddHBand="0" w:evenHBand="1" w:firstRowFirstColumn="0" w:firstRowLastColumn="0" w:lastRowFirstColumn="0" w:lastRowLastColumn="0"/>
        </w:trPr>
        <w:tc>
          <w:tcPr>
            <w:tcW w:w="0" w:type="dxa"/>
          </w:tcPr>
          <w:p w14:paraId="1C2B850C" w14:textId="3961B28A" w:rsidR="00634A1F" w:rsidRPr="000356DB" w:rsidRDefault="00EC3920" w:rsidP="000356DB">
            <w:pPr>
              <w:jc w:val="center"/>
            </w:pPr>
            <w:r w:rsidRPr="000356DB">
              <w:t xml:space="preserve">Economic incentives </w:t>
            </w:r>
            <w:r w:rsidR="00955D50">
              <w:t xml:space="preserve">such as subsidies </w:t>
            </w:r>
            <w:r w:rsidRPr="000356DB">
              <w:t>aimed at promoting circular behaviour (including performance-based incentives)</w:t>
            </w:r>
          </w:p>
        </w:tc>
        <w:tc>
          <w:tcPr>
            <w:tcW w:w="0" w:type="dxa"/>
          </w:tcPr>
          <w:p w14:paraId="4C9BD063" w14:textId="77777777" w:rsidR="00634A1F" w:rsidRPr="000356DB" w:rsidRDefault="00634A1F" w:rsidP="000356DB">
            <w:pPr>
              <w:jc w:val="center"/>
            </w:pPr>
          </w:p>
        </w:tc>
        <w:tc>
          <w:tcPr>
            <w:tcW w:w="0" w:type="dxa"/>
          </w:tcPr>
          <w:p w14:paraId="10963431" w14:textId="77777777" w:rsidR="00634A1F" w:rsidRPr="000356DB" w:rsidRDefault="00634A1F" w:rsidP="000356DB">
            <w:pPr>
              <w:jc w:val="center"/>
            </w:pPr>
          </w:p>
        </w:tc>
      </w:tr>
      <w:tr w:rsidR="001565D2" w:rsidRPr="000356DB" w14:paraId="11A80160" w14:textId="77777777" w:rsidTr="00634A1F">
        <w:trPr>
          <w:cnfStyle w:val="000000100000" w:firstRow="0" w:lastRow="0" w:firstColumn="0" w:lastColumn="0" w:oddVBand="0" w:evenVBand="0" w:oddHBand="1" w:evenHBand="0" w:firstRowFirstColumn="0" w:firstRowLastColumn="0" w:lastRowFirstColumn="0" w:lastRowLastColumn="0"/>
        </w:trPr>
        <w:tc>
          <w:tcPr>
            <w:tcW w:w="3005" w:type="dxa"/>
          </w:tcPr>
          <w:p w14:paraId="4C432DAA" w14:textId="49E1D8E3" w:rsidR="001565D2" w:rsidRPr="000356DB" w:rsidRDefault="00EC3920" w:rsidP="005224E1">
            <w:pPr>
              <w:jc w:val="center"/>
            </w:pPr>
            <w:r w:rsidRPr="000356DB">
              <w:t>Taxation</w:t>
            </w:r>
            <w:r w:rsidR="0023243B">
              <w:t xml:space="preserve"> of e.g., products or behaviours that do not align with circular economy principles</w:t>
            </w:r>
          </w:p>
        </w:tc>
        <w:tc>
          <w:tcPr>
            <w:tcW w:w="3005" w:type="dxa"/>
          </w:tcPr>
          <w:p w14:paraId="483BA4CE" w14:textId="77777777" w:rsidR="001565D2" w:rsidRPr="000356DB" w:rsidRDefault="001565D2" w:rsidP="005224E1">
            <w:pPr>
              <w:jc w:val="center"/>
            </w:pPr>
          </w:p>
        </w:tc>
        <w:tc>
          <w:tcPr>
            <w:tcW w:w="3006" w:type="dxa"/>
          </w:tcPr>
          <w:p w14:paraId="332E48B4" w14:textId="77777777" w:rsidR="001565D2" w:rsidRPr="000356DB" w:rsidRDefault="001565D2" w:rsidP="005224E1">
            <w:pPr>
              <w:jc w:val="center"/>
            </w:pPr>
          </w:p>
        </w:tc>
      </w:tr>
      <w:tr w:rsidR="001565D2" w:rsidRPr="000356DB" w14:paraId="4565394F" w14:textId="77777777" w:rsidTr="00634A1F">
        <w:trPr>
          <w:cnfStyle w:val="000000010000" w:firstRow="0" w:lastRow="0" w:firstColumn="0" w:lastColumn="0" w:oddVBand="0" w:evenVBand="0" w:oddHBand="0" w:evenHBand="1" w:firstRowFirstColumn="0" w:firstRowLastColumn="0" w:lastRowFirstColumn="0" w:lastRowLastColumn="0"/>
        </w:trPr>
        <w:tc>
          <w:tcPr>
            <w:tcW w:w="3005" w:type="dxa"/>
          </w:tcPr>
          <w:p w14:paraId="4CF502FE" w14:textId="6796D026" w:rsidR="001565D2" w:rsidRPr="000356DB" w:rsidRDefault="00EC3920" w:rsidP="005224E1">
            <w:pPr>
              <w:jc w:val="center"/>
            </w:pPr>
            <w:r w:rsidRPr="000356DB">
              <w:t>Education, training, and skills development</w:t>
            </w:r>
            <w:r w:rsidR="00B64D89">
              <w:t xml:space="preserve"> (targeted at e.g., students, </w:t>
            </w:r>
            <w:r w:rsidR="00237FD6">
              <w:t xml:space="preserve">design or repair professionals, </w:t>
            </w:r>
            <w:r w:rsidR="004435BA">
              <w:t>general population)</w:t>
            </w:r>
          </w:p>
        </w:tc>
        <w:tc>
          <w:tcPr>
            <w:tcW w:w="3005" w:type="dxa"/>
          </w:tcPr>
          <w:p w14:paraId="6E80B6D8" w14:textId="77777777" w:rsidR="001565D2" w:rsidRPr="000356DB" w:rsidRDefault="001565D2" w:rsidP="005224E1">
            <w:pPr>
              <w:jc w:val="center"/>
            </w:pPr>
          </w:p>
        </w:tc>
        <w:tc>
          <w:tcPr>
            <w:tcW w:w="3006" w:type="dxa"/>
          </w:tcPr>
          <w:p w14:paraId="5AF35DE0" w14:textId="77777777" w:rsidR="001565D2" w:rsidRPr="000356DB" w:rsidRDefault="001565D2" w:rsidP="005224E1">
            <w:pPr>
              <w:jc w:val="center"/>
            </w:pPr>
          </w:p>
        </w:tc>
      </w:tr>
      <w:tr w:rsidR="000B6E96" w:rsidRPr="000356DB" w14:paraId="468A5BCB" w14:textId="77777777" w:rsidTr="00634A1F">
        <w:trPr>
          <w:cnfStyle w:val="000000100000" w:firstRow="0" w:lastRow="0" w:firstColumn="0" w:lastColumn="0" w:oddVBand="0" w:evenVBand="0" w:oddHBand="1" w:evenHBand="0" w:firstRowFirstColumn="0" w:firstRowLastColumn="0" w:lastRowFirstColumn="0" w:lastRowLastColumn="0"/>
        </w:trPr>
        <w:tc>
          <w:tcPr>
            <w:tcW w:w="3005" w:type="dxa"/>
          </w:tcPr>
          <w:p w14:paraId="57E06B38" w14:textId="5EAF61A6" w:rsidR="000B6E96" w:rsidRPr="000356DB" w:rsidRDefault="000B6E96" w:rsidP="005224E1">
            <w:pPr>
              <w:jc w:val="center"/>
            </w:pPr>
            <w:r w:rsidRPr="000356DB">
              <w:t>Information- or awareness-raising initiatives (including provision of feedback and reminders)</w:t>
            </w:r>
          </w:p>
        </w:tc>
        <w:tc>
          <w:tcPr>
            <w:tcW w:w="3005" w:type="dxa"/>
          </w:tcPr>
          <w:p w14:paraId="577E22A7" w14:textId="77777777" w:rsidR="000B6E96" w:rsidRPr="000356DB" w:rsidRDefault="000B6E96" w:rsidP="005224E1">
            <w:pPr>
              <w:jc w:val="center"/>
            </w:pPr>
          </w:p>
        </w:tc>
        <w:tc>
          <w:tcPr>
            <w:tcW w:w="3006" w:type="dxa"/>
          </w:tcPr>
          <w:p w14:paraId="1D043C4F" w14:textId="77777777" w:rsidR="000B6E96" w:rsidRPr="000356DB" w:rsidRDefault="000B6E96" w:rsidP="005224E1">
            <w:pPr>
              <w:jc w:val="center"/>
            </w:pPr>
          </w:p>
        </w:tc>
      </w:tr>
      <w:tr w:rsidR="000B6E96" w:rsidRPr="000356DB" w14:paraId="6EA503D7" w14:textId="77777777" w:rsidTr="00634A1F">
        <w:trPr>
          <w:cnfStyle w:val="000000010000" w:firstRow="0" w:lastRow="0" w:firstColumn="0" w:lastColumn="0" w:oddVBand="0" w:evenVBand="0" w:oddHBand="0" w:evenHBand="1" w:firstRowFirstColumn="0" w:firstRowLastColumn="0" w:lastRowFirstColumn="0" w:lastRowLastColumn="0"/>
        </w:trPr>
        <w:tc>
          <w:tcPr>
            <w:tcW w:w="3005" w:type="dxa"/>
          </w:tcPr>
          <w:p w14:paraId="00B68987" w14:textId="3D1DC2EA" w:rsidR="000B6E96" w:rsidRPr="000356DB" w:rsidRDefault="000B6E96" w:rsidP="005224E1">
            <w:pPr>
              <w:jc w:val="center"/>
            </w:pPr>
            <w:r w:rsidRPr="000356DB">
              <w:lastRenderedPageBreak/>
              <w:t>Investments in supporting infrastructure or its accessibility</w:t>
            </w:r>
          </w:p>
        </w:tc>
        <w:tc>
          <w:tcPr>
            <w:tcW w:w="3005" w:type="dxa"/>
          </w:tcPr>
          <w:p w14:paraId="75C6C353" w14:textId="77777777" w:rsidR="000B6E96" w:rsidRPr="000356DB" w:rsidRDefault="000B6E96" w:rsidP="005224E1">
            <w:pPr>
              <w:jc w:val="center"/>
            </w:pPr>
          </w:p>
        </w:tc>
        <w:tc>
          <w:tcPr>
            <w:tcW w:w="3006" w:type="dxa"/>
          </w:tcPr>
          <w:p w14:paraId="65404BB3" w14:textId="77777777" w:rsidR="000B6E96" w:rsidRPr="000356DB" w:rsidRDefault="000B6E96" w:rsidP="005224E1">
            <w:pPr>
              <w:jc w:val="center"/>
            </w:pPr>
          </w:p>
        </w:tc>
      </w:tr>
      <w:tr w:rsidR="000B6E96" w:rsidRPr="000356DB" w14:paraId="7A55ED78" w14:textId="77777777" w:rsidTr="00634A1F">
        <w:trPr>
          <w:cnfStyle w:val="000000100000" w:firstRow="0" w:lastRow="0" w:firstColumn="0" w:lastColumn="0" w:oddVBand="0" w:evenVBand="0" w:oddHBand="1" w:evenHBand="0" w:firstRowFirstColumn="0" w:firstRowLastColumn="0" w:lastRowFirstColumn="0" w:lastRowLastColumn="0"/>
        </w:trPr>
        <w:tc>
          <w:tcPr>
            <w:tcW w:w="3005" w:type="dxa"/>
          </w:tcPr>
          <w:p w14:paraId="6A642B92" w14:textId="02550021" w:rsidR="000B6E96" w:rsidRPr="000356DB" w:rsidRDefault="000B6E96" w:rsidP="005224E1">
            <w:pPr>
              <w:jc w:val="center"/>
            </w:pPr>
            <w:r w:rsidRPr="000356DB">
              <w:t>Policies using social modelling or norm appeals (i.e., stimulating behaviour through</w:t>
            </w:r>
            <w:r w:rsidR="00FE6C3E">
              <w:t xml:space="preserve"> community interaction, ‘role models’, or</w:t>
            </w:r>
            <w:r w:rsidRPr="000356DB">
              <w:t xml:space="preserve"> </w:t>
            </w:r>
            <w:r w:rsidR="00A24867">
              <w:t xml:space="preserve">expectations of what the ‘social norm’ or the </w:t>
            </w:r>
            <w:r w:rsidR="002A6FD4">
              <w:t>‘acceptable group behaviour’ should be</w:t>
            </w:r>
            <w:r w:rsidRPr="000356DB">
              <w:t>)</w:t>
            </w:r>
          </w:p>
        </w:tc>
        <w:tc>
          <w:tcPr>
            <w:tcW w:w="3005" w:type="dxa"/>
          </w:tcPr>
          <w:p w14:paraId="1FE87814" w14:textId="77777777" w:rsidR="000B6E96" w:rsidRPr="000356DB" w:rsidRDefault="000B6E96" w:rsidP="005224E1">
            <w:pPr>
              <w:jc w:val="center"/>
            </w:pPr>
          </w:p>
        </w:tc>
        <w:tc>
          <w:tcPr>
            <w:tcW w:w="3006" w:type="dxa"/>
          </w:tcPr>
          <w:p w14:paraId="34534A4B" w14:textId="77777777" w:rsidR="000B6E96" w:rsidRPr="000356DB" w:rsidRDefault="000B6E96" w:rsidP="005224E1">
            <w:pPr>
              <w:jc w:val="center"/>
            </w:pPr>
          </w:p>
        </w:tc>
      </w:tr>
      <w:tr w:rsidR="000B6E96" w:rsidRPr="000356DB" w14:paraId="75FE28D7" w14:textId="77777777" w:rsidTr="00634A1F">
        <w:trPr>
          <w:cnfStyle w:val="000000010000" w:firstRow="0" w:lastRow="0" w:firstColumn="0" w:lastColumn="0" w:oddVBand="0" w:evenVBand="0" w:oddHBand="0" w:evenHBand="1" w:firstRowFirstColumn="0" w:firstRowLastColumn="0" w:lastRowFirstColumn="0" w:lastRowLastColumn="0"/>
        </w:trPr>
        <w:tc>
          <w:tcPr>
            <w:tcW w:w="3005" w:type="dxa"/>
          </w:tcPr>
          <w:p w14:paraId="42AE7EB4" w14:textId="6B82BF33" w:rsidR="000B6E96" w:rsidRPr="000356DB" w:rsidRDefault="000B6E96" w:rsidP="005224E1">
            <w:pPr>
              <w:jc w:val="center"/>
            </w:pPr>
            <w:r w:rsidRPr="000356DB">
              <w:t>Legal targets, standards, or restrictions</w:t>
            </w:r>
          </w:p>
        </w:tc>
        <w:tc>
          <w:tcPr>
            <w:tcW w:w="3005" w:type="dxa"/>
          </w:tcPr>
          <w:p w14:paraId="3B3FA1B2" w14:textId="77777777" w:rsidR="000B6E96" w:rsidRPr="000356DB" w:rsidRDefault="000B6E96" w:rsidP="005224E1">
            <w:pPr>
              <w:jc w:val="center"/>
            </w:pPr>
          </w:p>
        </w:tc>
        <w:tc>
          <w:tcPr>
            <w:tcW w:w="3006" w:type="dxa"/>
          </w:tcPr>
          <w:p w14:paraId="132B0F7F" w14:textId="77777777" w:rsidR="000B6E96" w:rsidRPr="000356DB" w:rsidRDefault="000B6E96" w:rsidP="005224E1">
            <w:pPr>
              <w:jc w:val="center"/>
            </w:pPr>
          </w:p>
        </w:tc>
      </w:tr>
      <w:tr w:rsidR="000B6E96" w:rsidRPr="000356DB" w14:paraId="3F34429A" w14:textId="77777777" w:rsidTr="00634A1F">
        <w:trPr>
          <w:cnfStyle w:val="000000100000" w:firstRow="0" w:lastRow="0" w:firstColumn="0" w:lastColumn="0" w:oddVBand="0" w:evenVBand="0" w:oddHBand="1" w:evenHBand="0" w:firstRowFirstColumn="0" w:firstRowLastColumn="0" w:lastRowFirstColumn="0" w:lastRowLastColumn="0"/>
        </w:trPr>
        <w:tc>
          <w:tcPr>
            <w:tcW w:w="3005" w:type="dxa"/>
          </w:tcPr>
          <w:p w14:paraId="2CE01711" w14:textId="10F74B32" w:rsidR="000B6E96" w:rsidRPr="000356DB" w:rsidRDefault="000B6E96" w:rsidP="005224E1">
            <w:pPr>
              <w:jc w:val="center"/>
            </w:pPr>
            <w:r w:rsidRPr="000356DB">
              <w:t>Nudges</w:t>
            </w:r>
            <w:r w:rsidR="00330B02">
              <w:rPr>
                <w:rStyle w:val="FootnoteReference"/>
              </w:rPr>
              <w:footnoteReference w:id="5"/>
            </w:r>
            <w:r w:rsidRPr="000356DB">
              <w:t xml:space="preserve"> (e.g., adjusting default settings)</w:t>
            </w:r>
          </w:p>
        </w:tc>
        <w:tc>
          <w:tcPr>
            <w:tcW w:w="3005" w:type="dxa"/>
          </w:tcPr>
          <w:p w14:paraId="2BE1AF7C" w14:textId="77777777" w:rsidR="000B6E96" w:rsidRPr="000356DB" w:rsidRDefault="000B6E96" w:rsidP="005224E1">
            <w:pPr>
              <w:jc w:val="center"/>
            </w:pPr>
          </w:p>
        </w:tc>
        <w:tc>
          <w:tcPr>
            <w:tcW w:w="3006" w:type="dxa"/>
          </w:tcPr>
          <w:p w14:paraId="0C15E664" w14:textId="77777777" w:rsidR="000B6E96" w:rsidRPr="000356DB" w:rsidRDefault="000B6E96" w:rsidP="005224E1">
            <w:pPr>
              <w:jc w:val="center"/>
            </w:pPr>
          </w:p>
        </w:tc>
      </w:tr>
    </w:tbl>
    <w:p w14:paraId="1436B418" w14:textId="77777777" w:rsidR="00634A1F" w:rsidRPr="000356DB" w:rsidRDefault="00634A1F" w:rsidP="000356DB">
      <w:pPr>
        <w:jc w:val="center"/>
      </w:pPr>
    </w:p>
    <w:p w14:paraId="7D5105AF" w14:textId="5D1C3649" w:rsidR="00EA0801" w:rsidRPr="000356DB" w:rsidRDefault="00EA0801" w:rsidP="00EA0801">
      <w:r w:rsidRPr="000356DB">
        <w:t>Q2.</w:t>
      </w:r>
      <w:r w:rsidR="002724DD">
        <w:t>2</w:t>
      </w:r>
      <w:r w:rsidR="00CC083E" w:rsidRPr="000356DB">
        <w:t xml:space="preserve"> </w:t>
      </w:r>
      <w:r w:rsidR="001F2C48" w:rsidRPr="000356DB">
        <w:t>Some</w:t>
      </w:r>
      <w:r w:rsidR="00CD41DF" w:rsidRPr="000356DB">
        <w:t xml:space="preserve"> consumer features </w:t>
      </w:r>
      <w:r w:rsidR="003C043C" w:rsidRPr="000356DB">
        <w:t xml:space="preserve">(e.g., traits, defining characteristics) </w:t>
      </w:r>
      <w:r w:rsidR="003E197D" w:rsidRPr="000356DB">
        <w:t xml:space="preserve">or external factors </w:t>
      </w:r>
      <w:r w:rsidR="004E75F5" w:rsidRPr="000356DB">
        <w:t>of the consumers’ environment (</w:t>
      </w:r>
      <w:proofErr w:type="gramStart"/>
      <w:r w:rsidR="004E75F5" w:rsidRPr="000356DB">
        <w:t>e.g.</w:t>
      </w:r>
      <w:proofErr w:type="gramEnd"/>
      <w:r w:rsidR="004E75F5" w:rsidRPr="000356DB">
        <w:t xml:space="preserve"> availability of </w:t>
      </w:r>
      <w:r w:rsidR="00D7097B" w:rsidRPr="000356DB">
        <w:t xml:space="preserve">repair </w:t>
      </w:r>
      <w:r w:rsidR="004E75F5" w:rsidRPr="000356DB">
        <w:t xml:space="preserve">infrastructure) </w:t>
      </w:r>
      <w:r w:rsidR="001F2C48" w:rsidRPr="000356DB">
        <w:t>can</w:t>
      </w:r>
      <w:r w:rsidR="00CD41DF" w:rsidRPr="000356DB">
        <w:t xml:space="preserve"> </w:t>
      </w:r>
      <w:r w:rsidR="00007F06" w:rsidRPr="000356DB">
        <w:t xml:space="preserve">affect </w:t>
      </w:r>
      <w:r w:rsidR="00FC1679" w:rsidRPr="000356DB">
        <w:t xml:space="preserve">the </w:t>
      </w:r>
      <w:r w:rsidR="00FC1679" w:rsidRPr="000356DB">
        <w:rPr>
          <w:b/>
          <w:bCs/>
        </w:rPr>
        <w:t>adoption of circular behaviour</w:t>
      </w:r>
      <w:r w:rsidR="00644D4D" w:rsidRPr="000356DB">
        <w:rPr>
          <w:b/>
          <w:bCs/>
        </w:rPr>
        <w:t xml:space="preserve"> </w:t>
      </w:r>
      <w:r w:rsidR="00644D4D" w:rsidRPr="000356DB">
        <w:t>(some examples are listed in the table below)</w:t>
      </w:r>
      <w:r w:rsidR="00FC1679" w:rsidRPr="000356DB">
        <w:t xml:space="preserve">. </w:t>
      </w:r>
      <w:r w:rsidR="001F2C48" w:rsidRPr="000356DB">
        <w:t>I</w:t>
      </w:r>
      <w:r w:rsidR="0007396F" w:rsidRPr="000356DB">
        <w:t xml:space="preserve">t is thus possible that some public policies aim at modifying these features, </w:t>
      </w:r>
      <w:r w:rsidR="00643A95" w:rsidRPr="000356DB">
        <w:t>with the purpose of</w:t>
      </w:r>
      <w:r w:rsidR="0007396F" w:rsidRPr="000356DB">
        <w:t xml:space="preserve"> </w:t>
      </w:r>
      <w:r w:rsidR="00DD472E" w:rsidRPr="000356DB">
        <w:t>i</w:t>
      </w:r>
      <w:r w:rsidR="00096674" w:rsidRPr="000356DB">
        <w:t>ncreas</w:t>
      </w:r>
      <w:r w:rsidR="00643A95" w:rsidRPr="000356DB">
        <w:t>ing</w:t>
      </w:r>
      <w:r w:rsidR="0007396F" w:rsidRPr="000356DB">
        <w:t xml:space="preserve"> the </w:t>
      </w:r>
      <w:r w:rsidR="00DE4472" w:rsidRPr="000356DB">
        <w:t xml:space="preserve">adoption by consumers of circular behaviour. </w:t>
      </w:r>
      <w:r w:rsidR="00FC1679" w:rsidRPr="000356DB">
        <w:t xml:space="preserve">Please </w:t>
      </w:r>
      <w:r w:rsidR="00C166E6" w:rsidRPr="000356DB">
        <w:t xml:space="preserve">indicate whether </w:t>
      </w:r>
      <w:r w:rsidR="003E197D" w:rsidRPr="000356DB">
        <w:t>you</w:t>
      </w:r>
      <w:r w:rsidR="00C166E6" w:rsidRPr="000356DB">
        <w:t xml:space="preserve"> are </w:t>
      </w:r>
      <w:r w:rsidR="003E197D" w:rsidRPr="000356DB">
        <w:t xml:space="preserve">aware of any </w:t>
      </w:r>
      <w:r w:rsidR="003E197D" w:rsidRPr="000356DB">
        <w:rPr>
          <w:b/>
          <w:bCs/>
        </w:rPr>
        <w:t>public policies</w:t>
      </w:r>
      <w:r w:rsidR="003E197D" w:rsidRPr="000356DB">
        <w:t xml:space="preserve"> targeting</w:t>
      </w:r>
      <w:r w:rsidR="004812EA">
        <w:t xml:space="preserve"> </w:t>
      </w:r>
      <w:r w:rsidR="004812EA" w:rsidRPr="004812EA">
        <w:rPr>
          <w:b/>
        </w:rPr>
        <w:t>specific aspects that determine consumer behaviour</w:t>
      </w:r>
      <w:r w:rsidR="004812EA">
        <w:t xml:space="preserve">, such as the examples </w:t>
      </w:r>
      <w:r w:rsidR="003E197D" w:rsidRPr="000356DB">
        <w:t>listed below.</w:t>
      </w:r>
    </w:p>
    <w:p w14:paraId="6983C62C" w14:textId="0F57F8A6" w:rsidR="005F771A" w:rsidRPr="000356DB" w:rsidRDefault="00A56E1D" w:rsidP="00EA0801">
      <w:r w:rsidRPr="000356DB">
        <w:t xml:space="preserve">For each item where you identify a relevant public policy, please specify the name of the policy (including a reference and link, where possible) and describe its </w:t>
      </w:r>
      <w:r w:rsidR="00820025" w:rsidRPr="000356DB">
        <w:t xml:space="preserve">working mechanisms </w:t>
      </w:r>
      <w:r w:rsidR="005F58D3" w:rsidRPr="000356DB">
        <w:t>in relation to</w:t>
      </w:r>
      <w:r w:rsidR="00820025" w:rsidRPr="000356DB">
        <w:t xml:space="preserve"> the </w:t>
      </w:r>
      <w:r w:rsidR="00C044BB" w:rsidRPr="000356DB">
        <w:t>circular economy</w:t>
      </w:r>
      <w:r w:rsidR="00820025" w:rsidRPr="000356DB">
        <w:t>.</w:t>
      </w:r>
      <w:r w:rsidR="007F73D2" w:rsidRPr="000356DB">
        <w:t xml:space="preserve"> </w:t>
      </w:r>
      <w:r w:rsidR="005F771A" w:rsidRPr="000356DB">
        <w:rPr>
          <w:b/>
          <w:bCs/>
        </w:rPr>
        <w:t>You can share supporting evidence in any EEA language</w:t>
      </w:r>
      <w:r w:rsidR="00EE5B0F">
        <w:rPr>
          <w:b/>
          <w:bCs/>
        </w:rPr>
        <w:t xml:space="preserve"> </w:t>
      </w:r>
      <w:r w:rsidR="00EE5B0F" w:rsidRPr="002724DD">
        <w:t>but if English versions/summaries are available, we would b</w:t>
      </w:r>
      <w:r w:rsidR="00EE5B0F" w:rsidRPr="00EE5B0F">
        <w:t>e grateful to receive them</w:t>
      </w:r>
      <w:r w:rsidR="00EE5B0F" w:rsidRPr="00EE5B0F">
        <w:rPr>
          <w:bCs/>
        </w:rPr>
        <w:t>.</w:t>
      </w:r>
    </w:p>
    <w:tbl>
      <w:tblPr>
        <w:tblStyle w:val="Ricardotable"/>
        <w:tblW w:w="0" w:type="auto"/>
        <w:tblLook w:val="04A0" w:firstRow="1" w:lastRow="0" w:firstColumn="1" w:lastColumn="0" w:noHBand="0" w:noVBand="1"/>
      </w:tblPr>
      <w:tblGrid>
        <w:gridCol w:w="3005"/>
        <w:gridCol w:w="3005"/>
        <w:gridCol w:w="3006"/>
      </w:tblGrid>
      <w:tr w:rsidR="00E9702B" w:rsidRPr="000356DB" w14:paraId="086374AF" w14:textId="77777777" w:rsidTr="00056248">
        <w:trPr>
          <w:cnfStyle w:val="100000000000" w:firstRow="1" w:lastRow="0" w:firstColumn="0" w:lastColumn="0" w:oddVBand="0" w:evenVBand="0" w:oddHBand="0" w:evenHBand="0" w:firstRowFirstColumn="0" w:firstRowLastColumn="0" w:lastRowFirstColumn="0" w:lastRowLastColumn="0"/>
          <w:tblHeader/>
        </w:trPr>
        <w:tc>
          <w:tcPr>
            <w:tcW w:w="3005" w:type="dxa"/>
          </w:tcPr>
          <w:p w14:paraId="5130292F" w14:textId="3AB8466C" w:rsidR="00E9702B" w:rsidRPr="000356DB" w:rsidRDefault="00C044BB" w:rsidP="00EA0801">
            <w:r w:rsidRPr="000356DB">
              <w:t xml:space="preserve">Features/factors </w:t>
            </w:r>
            <w:r w:rsidR="00AE1920" w:rsidRPr="000356DB">
              <w:t xml:space="preserve">affecting </w:t>
            </w:r>
            <w:r w:rsidRPr="000356DB">
              <w:t>the adoption of circular behaviour</w:t>
            </w:r>
          </w:p>
        </w:tc>
        <w:tc>
          <w:tcPr>
            <w:tcW w:w="3005" w:type="dxa"/>
          </w:tcPr>
          <w:p w14:paraId="3FA8CD49" w14:textId="4A727F17" w:rsidR="00E9702B" w:rsidRPr="000356DB" w:rsidRDefault="00E9702B" w:rsidP="00EA0801">
            <w:r w:rsidRPr="000356DB">
              <w:t>Public policy</w:t>
            </w:r>
            <w:r w:rsidR="00C044BB" w:rsidRPr="000356DB">
              <w:t xml:space="preserve"> (name, reference, link</w:t>
            </w:r>
            <w:r w:rsidR="00E74FB8" w:rsidRPr="000356DB">
              <w:t xml:space="preserve"> to official text</w:t>
            </w:r>
            <w:r w:rsidR="00C044BB" w:rsidRPr="000356DB">
              <w:t>)</w:t>
            </w:r>
          </w:p>
        </w:tc>
        <w:tc>
          <w:tcPr>
            <w:tcW w:w="3006" w:type="dxa"/>
          </w:tcPr>
          <w:p w14:paraId="49D841DC" w14:textId="19428E97" w:rsidR="00E9702B" w:rsidRPr="000356DB" w:rsidRDefault="001B34C5" w:rsidP="00EA0801">
            <w:r w:rsidRPr="000356DB">
              <w:t xml:space="preserve">Supporting evidence (please include link or reference details), if applicable, </w:t>
            </w:r>
            <w:r w:rsidR="00563B19" w:rsidRPr="000356DB">
              <w:t>and d</w:t>
            </w:r>
            <w:r w:rsidR="0059506F" w:rsidRPr="000356DB">
              <w:t>escription</w:t>
            </w:r>
            <w:r w:rsidR="00E9702B" w:rsidRPr="000356DB">
              <w:t xml:space="preserve"> </w:t>
            </w:r>
            <w:r w:rsidR="00587CB7" w:rsidRPr="000356DB">
              <w:t>of the policy and of its</w:t>
            </w:r>
            <w:r w:rsidR="00E9702B" w:rsidRPr="000356DB">
              <w:t xml:space="preserve"> relation</w:t>
            </w:r>
            <w:r w:rsidR="00A211EC" w:rsidRPr="000356DB">
              <w:t xml:space="preserve"> to the</w:t>
            </w:r>
            <w:r w:rsidR="00096674" w:rsidRPr="000356DB">
              <w:t xml:space="preserve"> adoption of</w:t>
            </w:r>
            <w:r w:rsidR="00A211EC" w:rsidRPr="000356DB">
              <w:t xml:space="preserve"> circular</w:t>
            </w:r>
            <w:r w:rsidR="00096674" w:rsidRPr="000356DB">
              <w:t xml:space="preserve"> </w:t>
            </w:r>
            <w:r w:rsidR="000356DB" w:rsidRPr="000356DB">
              <w:t>behaviours</w:t>
            </w:r>
            <w:r w:rsidR="00096674" w:rsidRPr="000356DB">
              <w:t xml:space="preserve"> by </w:t>
            </w:r>
            <w:r w:rsidR="009A5AF3" w:rsidRPr="000356DB">
              <w:t xml:space="preserve">the </w:t>
            </w:r>
            <w:r w:rsidR="00612D19" w:rsidRPr="000356DB">
              <w:t>consumers bearing these features</w:t>
            </w:r>
            <w:r w:rsidR="00AC4E03" w:rsidRPr="000356DB" w:rsidDel="00B31B63">
              <w:t xml:space="preserve"> </w:t>
            </w:r>
          </w:p>
        </w:tc>
      </w:tr>
      <w:tr w:rsidR="00C044BB" w:rsidRPr="000356DB" w14:paraId="0894A70D" w14:textId="77777777" w:rsidTr="00BD34F7">
        <w:tc>
          <w:tcPr>
            <w:tcW w:w="9016" w:type="dxa"/>
            <w:gridSpan w:val="3"/>
            <w:shd w:val="clear" w:color="auto" w:fill="B3E0FF"/>
          </w:tcPr>
          <w:p w14:paraId="21EC7D6E" w14:textId="64740DD2" w:rsidR="00C044BB" w:rsidRPr="000356DB" w:rsidRDefault="00C044BB" w:rsidP="00EA0801">
            <w:pPr>
              <w:rPr>
                <w:color w:val="006BB7"/>
              </w:rPr>
            </w:pPr>
            <w:r w:rsidRPr="000356DB">
              <w:rPr>
                <w:color w:val="006BB7"/>
              </w:rPr>
              <w:t xml:space="preserve">Awareness </w:t>
            </w:r>
            <w:r w:rsidR="00A870BF" w:rsidRPr="000356DB">
              <w:rPr>
                <w:color w:val="006BB7"/>
              </w:rPr>
              <w:t>of</w:t>
            </w:r>
            <w:r w:rsidRPr="000356DB">
              <w:rPr>
                <w:color w:val="006BB7"/>
              </w:rPr>
              <w:t xml:space="preserve"> environmental problems</w:t>
            </w:r>
          </w:p>
        </w:tc>
      </w:tr>
      <w:tr w:rsidR="00EE1D27" w:rsidRPr="000356DB" w14:paraId="4E32A43A" w14:textId="77777777" w:rsidTr="00E9702B">
        <w:trPr>
          <w:cnfStyle w:val="000000010000" w:firstRow="0" w:lastRow="0" w:firstColumn="0" w:lastColumn="0" w:oddVBand="0" w:evenVBand="0" w:oddHBand="0" w:evenHBand="1" w:firstRowFirstColumn="0" w:firstRowLastColumn="0" w:lastRowFirstColumn="0" w:lastRowLastColumn="0"/>
        </w:trPr>
        <w:tc>
          <w:tcPr>
            <w:tcW w:w="3005" w:type="dxa"/>
          </w:tcPr>
          <w:p w14:paraId="7AE847BD" w14:textId="3E025550" w:rsidR="00EE1D27" w:rsidRPr="000356DB" w:rsidRDefault="00EE1D27" w:rsidP="00EE1D27">
            <w:r w:rsidRPr="000356DB">
              <w:t>Knowledge about the environmental benefits of circular behaviour</w:t>
            </w:r>
          </w:p>
        </w:tc>
        <w:tc>
          <w:tcPr>
            <w:tcW w:w="3005" w:type="dxa"/>
          </w:tcPr>
          <w:p w14:paraId="3C1512EC" w14:textId="19833D57" w:rsidR="00EE1D27" w:rsidRPr="000356DB" w:rsidRDefault="009234D2" w:rsidP="00EE1D27">
            <w:pPr>
              <w:rPr>
                <w:i/>
              </w:rPr>
            </w:pPr>
            <w:r w:rsidRPr="000356DB">
              <w:rPr>
                <w:i/>
              </w:rPr>
              <w:t>(e.g.</w:t>
            </w:r>
            <w:r w:rsidR="00ED5F85" w:rsidRPr="000356DB">
              <w:rPr>
                <w:i/>
              </w:rPr>
              <w:t>,</w:t>
            </w:r>
            <w:r w:rsidRPr="000356DB">
              <w:rPr>
                <w:i/>
              </w:rPr>
              <w:t xml:space="preserve"> </w:t>
            </w:r>
            <w:r w:rsidR="00E57222" w:rsidRPr="000356DB">
              <w:rPr>
                <w:i/>
              </w:rPr>
              <w:t xml:space="preserve">awareness-raising campaigns on </w:t>
            </w:r>
            <w:r w:rsidR="009E128F" w:rsidRPr="000356DB">
              <w:rPr>
                <w:i/>
              </w:rPr>
              <w:t>waste sorting</w:t>
            </w:r>
            <w:r w:rsidR="005560B9">
              <w:rPr>
                <w:i/>
              </w:rPr>
              <w:t xml:space="preserve"> or material footprints</w:t>
            </w:r>
            <w:r w:rsidR="009E128F" w:rsidRPr="000356DB">
              <w:rPr>
                <w:i/>
              </w:rPr>
              <w:t>)</w:t>
            </w:r>
          </w:p>
        </w:tc>
        <w:tc>
          <w:tcPr>
            <w:tcW w:w="3006" w:type="dxa"/>
          </w:tcPr>
          <w:p w14:paraId="0F83CBEB" w14:textId="77777777" w:rsidR="00EE1D27" w:rsidRPr="000356DB" w:rsidRDefault="00EE1D27" w:rsidP="00EE1D27"/>
        </w:tc>
      </w:tr>
      <w:tr w:rsidR="000243E9" w:rsidRPr="000356DB" w14:paraId="72FF8343" w14:textId="77777777" w:rsidTr="00BD34F7">
        <w:tc>
          <w:tcPr>
            <w:tcW w:w="9016" w:type="dxa"/>
            <w:gridSpan w:val="3"/>
            <w:shd w:val="clear" w:color="auto" w:fill="B3E0FF"/>
          </w:tcPr>
          <w:p w14:paraId="606DE538" w14:textId="39FAAAC0" w:rsidR="000243E9" w:rsidRPr="000356DB" w:rsidRDefault="000243E9" w:rsidP="00EE1D27">
            <w:r w:rsidRPr="000356DB">
              <w:rPr>
                <w:color w:val="006BB7"/>
              </w:rPr>
              <w:t>Knowledge about circularity</w:t>
            </w:r>
          </w:p>
        </w:tc>
      </w:tr>
      <w:tr w:rsidR="000243E9" w:rsidRPr="000356DB" w14:paraId="3D7DDF17" w14:textId="77777777" w:rsidTr="00E9702B">
        <w:trPr>
          <w:cnfStyle w:val="000000010000" w:firstRow="0" w:lastRow="0" w:firstColumn="0" w:lastColumn="0" w:oddVBand="0" w:evenVBand="0" w:oddHBand="0" w:evenHBand="1" w:firstRowFirstColumn="0" w:firstRowLastColumn="0" w:lastRowFirstColumn="0" w:lastRowLastColumn="0"/>
        </w:trPr>
        <w:tc>
          <w:tcPr>
            <w:tcW w:w="3005" w:type="dxa"/>
          </w:tcPr>
          <w:p w14:paraId="49D95924" w14:textId="14206C38" w:rsidR="000243E9" w:rsidRPr="000356DB" w:rsidRDefault="000243E9" w:rsidP="000243E9">
            <w:r w:rsidRPr="000356DB">
              <w:t>Understanding of what makes products ‘circular’ (e.g., repairability, recycled content)</w:t>
            </w:r>
          </w:p>
        </w:tc>
        <w:tc>
          <w:tcPr>
            <w:tcW w:w="3005" w:type="dxa"/>
          </w:tcPr>
          <w:p w14:paraId="323D957E" w14:textId="75F039FA" w:rsidR="000243E9" w:rsidRPr="000356DB" w:rsidRDefault="00D93EEC" w:rsidP="000243E9">
            <w:pPr>
              <w:rPr>
                <w:i/>
              </w:rPr>
            </w:pPr>
            <w:r w:rsidRPr="000356DB">
              <w:rPr>
                <w:i/>
              </w:rPr>
              <w:t xml:space="preserve">(e.g., </w:t>
            </w:r>
            <w:r w:rsidR="00FE1D7D" w:rsidRPr="000356DB">
              <w:rPr>
                <w:i/>
              </w:rPr>
              <w:t>classes within the school curriculum</w:t>
            </w:r>
            <w:r w:rsidR="00000EAF" w:rsidRPr="000356DB">
              <w:rPr>
                <w:i/>
              </w:rPr>
              <w:t xml:space="preserve"> on circularity)</w:t>
            </w:r>
          </w:p>
        </w:tc>
        <w:tc>
          <w:tcPr>
            <w:tcW w:w="3006" w:type="dxa"/>
          </w:tcPr>
          <w:p w14:paraId="7F9CCD53" w14:textId="77777777" w:rsidR="000243E9" w:rsidRPr="000356DB" w:rsidRDefault="000243E9" w:rsidP="000243E9"/>
        </w:tc>
      </w:tr>
      <w:tr w:rsidR="000243E9" w:rsidRPr="000356DB" w14:paraId="00ECFCDB" w14:textId="77777777" w:rsidTr="00E9702B">
        <w:tc>
          <w:tcPr>
            <w:tcW w:w="3005" w:type="dxa"/>
          </w:tcPr>
          <w:p w14:paraId="14E8F510" w14:textId="45062825" w:rsidR="000243E9" w:rsidRPr="000356DB" w:rsidRDefault="000243E9" w:rsidP="000243E9">
            <w:r w:rsidRPr="000356DB">
              <w:t xml:space="preserve">Knowledge </w:t>
            </w:r>
            <w:r w:rsidR="00D35C7D" w:rsidRPr="000356DB">
              <w:t xml:space="preserve">or information </w:t>
            </w:r>
            <w:r w:rsidRPr="000356DB">
              <w:t>about product maintenance</w:t>
            </w:r>
          </w:p>
        </w:tc>
        <w:tc>
          <w:tcPr>
            <w:tcW w:w="3005" w:type="dxa"/>
          </w:tcPr>
          <w:p w14:paraId="480E1E7C" w14:textId="34155BC8" w:rsidR="000243E9" w:rsidRPr="000356DB" w:rsidRDefault="001259F4" w:rsidP="000243E9">
            <w:pPr>
              <w:rPr>
                <w:i/>
              </w:rPr>
            </w:pPr>
            <w:r w:rsidRPr="000356DB">
              <w:rPr>
                <w:i/>
              </w:rPr>
              <w:t xml:space="preserve">(e.g., </w:t>
            </w:r>
            <w:r w:rsidR="004576C7" w:rsidRPr="000356DB">
              <w:rPr>
                <w:i/>
              </w:rPr>
              <w:t xml:space="preserve">guidelines or standards </w:t>
            </w:r>
            <w:r w:rsidR="00076D64" w:rsidRPr="000356DB">
              <w:rPr>
                <w:i/>
              </w:rPr>
              <w:t xml:space="preserve">informing consumers about </w:t>
            </w:r>
            <w:r w:rsidR="00533916" w:rsidRPr="000356DB">
              <w:rPr>
                <w:i/>
              </w:rPr>
              <w:t xml:space="preserve">product-specific </w:t>
            </w:r>
            <w:r w:rsidR="00076D64" w:rsidRPr="000356DB">
              <w:rPr>
                <w:i/>
              </w:rPr>
              <w:t>maintenance)</w:t>
            </w:r>
          </w:p>
        </w:tc>
        <w:tc>
          <w:tcPr>
            <w:tcW w:w="3006" w:type="dxa"/>
          </w:tcPr>
          <w:p w14:paraId="60B45350" w14:textId="77777777" w:rsidR="000243E9" w:rsidRPr="000356DB" w:rsidRDefault="000243E9" w:rsidP="000243E9"/>
        </w:tc>
      </w:tr>
      <w:tr w:rsidR="000243E9" w:rsidRPr="000356DB" w14:paraId="10BD8A91" w14:textId="77777777" w:rsidTr="00E9702B">
        <w:trPr>
          <w:cnfStyle w:val="000000010000" w:firstRow="0" w:lastRow="0" w:firstColumn="0" w:lastColumn="0" w:oddVBand="0" w:evenVBand="0" w:oddHBand="0" w:evenHBand="1" w:firstRowFirstColumn="0" w:firstRowLastColumn="0" w:lastRowFirstColumn="0" w:lastRowLastColumn="0"/>
        </w:trPr>
        <w:tc>
          <w:tcPr>
            <w:tcW w:w="3005" w:type="dxa"/>
          </w:tcPr>
          <w:p w14:paraId="3944FE4F" w14:textId="2F174DF2" w:rsidR="000243E9" w:rsidRPr="000356DB" w:rsidRDefault="000243E9" w:rsidP="000243E9">
            <w:r w:rsidRPr="000356DB">
              <w:lastRenderedPageBreak/>
              <w:t xml:space="preserve">Knowledge </w:t>
            </w:r>
            <w:r w:rsidR="00D35C7D" w:rsidRPr="000356DB">
              <w:t xml:space="preserve">or information </w:t>
            </w:r>
            <w:r w:rsidRPr="000356DB">
              <w:t>about circular action at the end of a product’s life</w:t>
            </w:r>
          </w:p>
        </w:tc>
        <w:tc>
          <w:tcPr>
            <w:tcW w:w="3005" w:type="dxa"/>
          </w:tcPr>
          <w:p w14:paraId="26DCED66" w14:textId="6CB9247B" w:rsidR="000243E9" w:rsidRPr="000356DB" w:rsidRDefault="00B81584" w:rsidP="000243E9">
            <w:pPr>
              <w:rPr>
                <w:i/>
              </w:rPr>
            </w:pPr>
            <w:r w:rsidRPr="000356DB">
              <w:rPr>
                <w:i/>
              </w:rPr>
              <w:t>(e.g.,</w:t>
            </w:r>
            <w:r w:rsidR="00DF5D1C" w:rsidRPr="000356DB">
              <w:rPr>
                <w:i/>
              </w:rPr>
              <w:t xml:space="preserve"> </w:t>
            </w:r>
            <w:r w:rsidR="00761726" w:rsidRPr="000356DB">
              <w:rPr>
                <w:i/>
              </w:rPr>
              <w:t xml:space="preserve">information on </w:t>
            </w:r>
            <w:r w:rsidR="00ED54FB" w:rsidRPr="000356DB">
              <w:rPr>
                <w:i/>
              </w:rPr>
              <w:t>end-of-life treatment or disposal options</w:t>
            </w:r>
            <w:r w:rsidR="001442D0" w:rsidRPr="000356DB">
              <w:rPr>
                <w:i/>
              </w:rPr>
              <w:t>, including location of recycling</w:t>
            </w:r>
            <w:r w:rsidR="00FD4F9D" w:rsidRPr="000356DB">
              <w:rPr>
                <w:i/>
              </w:rPr>
              <w:t xml:space="preserve">/collection </w:t>
            </w:r>
            <w:r w:rsidR="001442D0" w:rsidRPr="000356DB">
              <w:rPr>
                <w:i/>
              </w:rPr>
              <w:t>facilities and/or repair shops)</w:t>
            </w:r>
          </w:p>
        </w:tc>
        <w:tc>
          <w:tcPr>
            <w:tcW w:w="3006" w:type="dxa"/>
          </w:tcPr>
          <w:p w14:paraId="048C2D96" w14:textId="77777777" w:rsidR="000243E9" w:rsidRPr="000356DB" w:rsidRDefault="000243E9" w:rsidP="000243E9"/>
        </w:tc>
      </w:tr>
      <w:tr w:rsidR="00AA2307" w:rsidRPr="000356DB" w14:paraId="11AD25B4" w14:textId="77777777" w:rsidTr="00E9702B">
        <w:tc>
          <w:tcPr>
            <w:tcW w:w="3005" w:type="dxa"/>
          </w:tcPr>
          <w:p w14:paraId="25F040EF" w14:textId="63C0E789" w:rsidR="00AA2307" w:rsidRPr="00C67AD6" w:rsidRDefault="00AA2307" w:rsidP="000243E9">
            <w:pPr>
              <w:rPr>
                <w:lang w:val="en-GB"/>
              </w:rPr>
            </w:pPr>
            <w:r>
              <w:rPr>
                <w:lang w:val="en-GB"/>
              </w:rPr>
              <w:t>Knowledge and understanding of the economic savings associated with circular behaviour</w:t>
            </w:r>
          </w:p>
        </w:tc>
        <w:tc>
          <w:tcPr>
            <w:tcW w:w="3005" w:type="dxa"/>
          </w:tcPr>
          <w:p w14:paraId="0CF7D3D0" w14:textId="11F9A9FC" w:rsidR="00AA2307" w:rsidRPr="00C67AD6" w:rsidRDefault="005802B4" w:rsidP="000243E9">
            <w:pPr>
              <w:rPr>
                <w:i/>
                <w:lang w:val="en-GB"/>
              </w:rPr>
            </w:pPr>
            <w:r>
              <w:rPr>
                <w:i/>
                <w:lang w:val="en-GB"/>
              </w:rPr>
              <w:t xml:space="preserve">(e.g., </w:t>
            </w:r>
            <w:r w:rsidR="000F6B79">
              <w:rPr>
                <w:i/>
                <w:lang w:val="en-GB"/>
              </w:rPr>
              <w:t>information on the savings associated with repair vs purchase)</w:t>
            </w:r>
          </w:p>
        </w:tc>
        <w:tc>
          <w:tcPr>
            <w:tcW w:w="3006" w:type="dxa"/>
          </w:tcPr>
          <w:p w14:paraId="1A8594E0" w14:textId="77777777" w:rsidR="00AA2307" w:rsidRPr="000356DB" w:rsidRDefault="00AA2307" w:rsidP="000243E9"/>
        </w:tc>
      </w:tr>
      <w:tr w:rsidR="006209DD" w:rsidRPr="000356DB" w14:paraId="757C627B" w14:textId="77777777" w:rsidTr="00E9702B">
        <w:trPr>
          <w:cnfStyle w:val="000000010000" w:firstRow="0" w:lastRow="0" w:firstColumn="0" w:lastColumn="0" w:oddVBand="0" w:evenVBand="0" w:oddHBand="0" w:evenHBand="1" w:firstRowFirstColumn="0" w:firstRowLastColumn="0" w:lastRowFirstColumn="0" w:lastRowLastColumn="0"/>
        </w:trPr>
        <w:tc>
          <w:tcPr>
            <w:tcW w:w="3005" w:type="dxa"/>
          </w:tcPr>
          <w:p w14:paraId="73F1B123" w14:textId="78FDF4AA" w:rsidR="006209DD" w:rsidRPr="000356DB" w:rsidRDefault="006209DD" w:rsidP="000243E9">
            <w:r w:rsidRPr="000356DB">
              <w:rPr>
                <w:i/>
              </w:rPr>
              <w:t>Other (please specify)</w:t>
            </w:r>
          </w:p>
        </w:tc>
        <w:tc>
          <w:tcPr>
            <w:tcW w:w="3005" w:type="dxa"/>
          </w:tcPr>
          <w:p w14:paraId="1A258840" w14:textId="77777777" w:rsidR="006209DD" w:rsidRPr="000356DB" w:rsidRDefault="006209DD" w:rsidP="000243E9"/>
        </w:tc>
        <w:tc>
          <w:tcPr>
            <w:tcW w:w="3006" w:type="dxa"/>
          </w:tcPr>
          <w:p w14:paraId="2CE8AE88" w14:textId="77777777" w:rsidR="006209DD" w:rsidRPr="000356DB" w:rsidRDefault="006209DD" w:rsidP="000243E9"/>
        </w:tc>
      </w:tr>
      <w:tr w:rsidR="00B21907" w:rsidRPr="000356DB" w14:paraId="0BADEE52" w14:textId="77777777" w:rsidTr="00BD34F7">
        <w:tc>
          <w:tcPr>
            <w:tcW w:w="9016" w:type="dxa"/>
            <w:gridSpan w:val="3"/>
            <w:shd w:val="clear" w:color="auto" w:fill="B3E0FF"/>
          </w:tcPr>
          <w:p w14:paraId="0A4ECA27" w14:textId="78B2E3E2" w:rsidR="00B21907" w:rsidRPr="000356DB" w:rsidRDefault="00B21907" w:rsidP="000243E9">
            <w:r w:rsidRPr="000356DB">
              <w:rPr>
                <w:color w:val="006BB7"/>
              </w:rPr>
              <w:t>Socio-economic factors</w:t>
            </w:r>
          </w:p>
        </w:tc>
      </w:tr>
      <w:tr w:rsidR="00C438D1" w:rsidRPr="000356DB" w14:paraId="781C2BA4" w14:textId="77777777" w:rsidTr="00E9702B">
        <w:trPr>
          <w:cnfStyle w:val="000000010000" w:firstRow="0" w:lastRow="0" w:firstColumn="0" w:lastColumn="0" w:oddVBand="0" w:evenVBand="0" w:oddHBand="0" w:evenHBand="1" w:firstRowFirstColumn="0" w:firstRowLastColumn="0" w:lastRowFirstColumn="0" w:lastRowLastColumn="0"/>
        </w:trPr>
        <w:tc>
          <w:tcPr>
            <w:tcW w:w="3005" w:type="dxa"/>
          </w:tcPr>
          <w:p w14:paraId="77EE16EC" w14:textId="0FA341F4" w:rsidR="00C438D1" w:rsidRPr="000356DB" w:rsidRDefault="00C34BDD" w:rsidP="000243E9">
            <w:r w:rsidRPr="000356DB">
              <w:t>Level of income</w:t>
            </w:r>
          </w:p>
        </w:tc>
        <w:tc>
          <w:tcPr>
            <w:tcW w:w="3005" w:type="dxa"/>
          </w:tcPr>
          <w:p w14:paraId="03F24E9A" w14:textId="6EA5326B" w:rsidR="00C438D1" w:rsidRPr="000356DB" w:rsidRDefault="00F57FFC" w:rsidP="000243E9">
            <w:pPr>
              <w:rPr>
                <w:i/>
              </w:rPr>
            </w:pPr>
            <w:r w:rsidRPr="000356DB">
              <w:rPr>
                <w:i/>
              </w:rPr>
              <w:t>(e.g.</w:t>
            </w:r>
            <w:r w:rsidR="003A6E49" w:rsidRPr="000356DB">
              <w:rPr>
                <w:i/>
              </w:rPr>
              <w:t>,</w:t>
            </w:r>
            <w:r w:rsidRPr="000356DB">
              <w:rPr>
                <w:i/>
              </w:rPr>
              <w:t xml:space="preserve"> targeted subsidies for the purchase of longer-life products by </w:t>
            </w:r>
            <w:r w:rsidR="00350028" w:rsidRPr="000356DB">
              <w:rPr>
                <w:i/>
              </w:rPr>
              <w:t>lower-income households</w:t>
            </w:r>
            <w:r w:rsidR="00565DDD" w:rsidRPr="000356DB">
              <w:rPr>
                <w:i/>
              </w:rPr>
              <w:t>, low</w:t>
            </w:r>
            <w:r w:rsidR="00AA1E37" w:rsidRPr="000356DB">
              <w:rPr>
                <w:i/>
              </w:rPr>
              <w:t>-interest loans to households purchasing longer-life products</w:t>
            </w:r>
            <w:r w:rsidR="00350028" w:rsidRPr="000356DB">
              <w:rPr>
                <w:i/>
              </w:rPr>
              <w:t>)</w:t>
            </w:r>
          </w:p>
        </w:tc>
        <w:tc>
          <w:tcPr>
            <w:tcW w:w="3006" w:type="dxa"/>
          </w:tcPr>
          <w:p w14:paraId="01BE2EF5" w14:textId="77777777" w:rsidR="00C438D1" w:rsidRPr="000356DB" w:rsidRDefault="00C438D1" w:rsidP="000243E9"/>
        </w:tc>
      </w:tr>
      <w:tr w:rsidR="00C438D1" w:rsidRPr="000356DB" w14:paraId="5C2A658E" w14:textId="77777777" w:rsidTr="00E9702B">
        <w:tc>
          <w:tcPr>
            <w:tcW w:w="3005" w:type="dxa"/>
          </w:tcPr>
          <w:p w14:paraId="6F4D8666" w14:textId="2366BAA5" w:rsidR="00C438D1" w:rsidRPr="000356DB" w:rsidRDefault="00C34BDD" w:rsidP="000243E9">
            <w:r w:rsidRPr="000356DB">
              <w:t>Security of income</w:t>
            </w:r>
          </w:p>
        </w:tc>
        <w:tc>
          <w:tcPr>
            <w:tcW w:w="3005" w:type="dxa"/>
          </w:tcPr>
          <w:p w14:paraId="0C29E414" w14:textId="2433B4A0" w:rsidR="00C438D1" w:rsidRPr="000356DB" w:rsidRDefault="00DA1F94" w:rsidP="000243E9">
            <w:pPr>
              <w:rPr>
                <w:i/>
              </w:rPr>
            </w:pPr>
            <w:r w:rsidRPr="000356DB">
              <w:rPr>
                <w:i/>
              </w:rPr>
              <w:t>(e.g.</w:t>
            </w:r>
            <w:r w:rsidR="003A6E49" w:rsidRPr="000356DB">
              <w:rPr>
                <w:i/>
              </w:rPr>
              <w:t>,</w:t>
            </w:r>
            <w:r w:rsidRPr="000356DB">
              <w:rPr>
                <w:i/>
              </w:rPr>
              <w:t xml:space="preserve"> </w:t>
            </w:r>
            <w:r w:rsidR="0079291F" w:rsidRPr="000356DB">
              <w:rPr>
                <w:i/>
              </w:rPr>
              <w:t>low</w:t>
            </w:r>
            <w:r w:rsidR="0011365D" w:rsidRPr="000356DB">
              <w:rPr>
                <w:i/>
              </w:rPr>
              <w:t>-i</w:t>
            </w:r>
            <w:r w:rsidR="0079291F" w:rsidRPr="000356DB">
              <w:rPr>
                <w:i/>
              </w:rPr>
              <w:t xml:space="preserve">nterest loans to </w:t>
            </w:r>
            <w:r w:rsidR="008C7564" w:rsidRPr="000356DB">
              <w:rPr>
                <w:i/>
              </w:rPr>
              <w:t>companies renting</w:t>
            </w:r>
            <w:r w:rsidR="0002473E" w:rsidRPr="000356DB">
              <w:rPr>
                <w:i/>
              </w:rPr>
              <w:t xml:space="preserve"> longer-life products)</w:t>
            </w:r>
          </w:p>
        </w:tc>
        <w:tc>
          <w:tcPr>
            <w:tcW w:w="3006" w:type="dxa"/>
          </w:tcPr>
          <w:p w14:paraId="3E1F91D5" w14:textId="77777777" w:rsidR="00C438D1" w:rsidRPr="000356DB" w:rsidRDefault="00C438D1" w:rsidP="000243E9"/>
        </w:tc>
      </w:tr>
      <w:tr w:rsidR="00C34BDD" w:rsidRPr="000356DB" w14:paraId="4F47CF49" w14:textId="77777777" w:rsidTr="00E9702B">
        <w:trPr>
          <w:cnfStyle w:val="000000010000" w:firstRow="0" w:lastRow="0" w:firstColumn="0" w:lastColumn="0" w:oddVBand="0" w:evenVBand="0" w:oddHBand="0" w:evenHBand="1" w:firstRowFirstColumn="0" w:firstRowLastColumn="0" w:lastRowFirstColumn="0" w:lastRowLastColumn="0"/>
        </w:trPr>
        <w:tc>
          <w:tcPr>
            <w:tcW w:w="3005" w:type="dxa"/>
          </w:tcPr>
          <w:p w14:paraId="116C0CC0" w14:textId="34994FE9" w:rsidR="00C34BDD" w:rsidRPr="000356DB" w:rsidRDefault="006209DD" w:rsidP="000243E9">
            <w:r w:rsidRPr="000356DB">
              <w:rPr>
                <w:i/>
              </w:rPr>
              <w:t>Other (please specify)</w:t>
            </w:r>
          </w:p>
        </w:tc>
        <w:tc>
          <w:tcPr>
            <w:tcW w:w="3005" w:type="dxa"/>
          </w:tcPr>
          <w:p w14:paraId="7931DAD8" w14:textId="77777777" w:rsidR="00C34BDD" w:rsidRPr="000356DB" w:rsidRDefault="00C34BDD" w:rsidP="000243E9"/>
        </w:tc>
        <w:tc>
          <w:tcPr>
            <w:tcW w:w="3006" w:type="dxa"/>
          </w:tcPr>
          <w:p w14:paraId="08A57A0C" w14:textId="77777777" w:rsidR="00C34BDD" w:rsidRPr="000356DB" w:rsidRDefault="00C34BDD" w:rsidP="000243E9"/>
        </w:tc>
      </w:tr>
      <w:tr w:rsidR="00A870BF" w:rsidRPr="000356DB" w14:paraId="3D807693" w14:textId="77777777" w:rsidTr="00BD34F7">
        <w:tc>
          <w:tcPr>
            <w:tcW w:w="9016" w:type="dxa"/>
            <w:gridSpan w:val="3"/>
            <w:shd w:val="clear" w:color="auto" w:fill="B3E0FF"/>
          </w:tcPr>
          <w:p w14:paraId="77C0E0E4" w14:textId="2EDCB3CA" w:rsidR="00A870BF" w:rsidRPr="000356DB" w:rsidRDefault="00A870BF" w:rsidP="000243E9">
            <w:r w:rsidRPr="000356DB">
              <w:rPr>
                <w:color w:val="006BB7"/>
              </w:rPr>
              <w:t>Psychological factors</w:t>
            </w:r>
          </w:p>
        </w:tc>
      </w:tr>
      <w:tr w:rsidR="00C34BDD" w:rsidRPr="000356DB" w14:paraId="46D5255D" w14:textId="77777777" w:rsidTr="00E9702B">
        <w:trPr>
          <w:cnfStyle w:val="000000010000" w:firstRow="0" w:lastRow="0" w:firstColumn="0" w:lastColumn="0" w:oddVBand="0" w:evenVBand="0" w:oddHBand="0" w:evenHBand="1" w:firstRowFirstColumn="0" w:firstRowLastColumn="0" w:lastRowFirstColumn="0" w:lastRowLastColumn="0"/>
        </w:trPr>
        <w:tc>
          <w:tcPr>
            <w:tcW w:w="3005" w:type="dxa"/>
          </w:tcPr>
          <w:p w14:paraId="2848FCE7" w14:textId="54314F75" w:rsidR="00C34BDD" w:rsidRPr="000356DB" w:rsidRDefault="00F4034D" w:rsidP="000243E9">
            <w:r w:rsidRPr="000356DB">
              <w:t>Long-term vision (i.e., intertemporal trade-offs)</w:t>
            </w:r>
          </w:p>
        </w:tc>
        <w:tc>
          <w:tcPr>
            <w:tcW w:w="3005" w:type="dxa"/>
          </w:tcPr>
          <w:p w14:paraId="131AE0B2" w14:textId="24DE6E33" w:rsidR="00C34BDD" w:rsidRPr="000356DB" w:rsidRDefault="00AC0DE0" w:rsidP="000243E9">
            <w:pPr>
              <w:rPr>
                <w:i/>
              </w:rPr>
            </w:pPr>
            <w:r w:rsidRPr="000356DB">
              <w:rPr>
                <w:i/>
              </w:rPr>
              <w:t xml:space="preserve">(e.g., </w:t>
            </w:r>
            <w:r w:rsidR="00572161" w:rsidRPr="000356DB">
              <w:rPr>
                <w:i/>
              </w:rPr>
              <w:t>government communications mak</w:t>
            </w:r>
            <w:r w:rsidR="00181042" w:rsidRPr="000356DB">
              <w:rPr>
                <w:i/>
              </w:rPr>
              <w:t xml:space="preserve">ing future risks (costs) more </w:t>
            </w:r>
            <w:r w:rsidR="00D35D9C">
              <w:rPr>
                <w:i/>
              </w:rPr>
              <w:t>apparent</w:t>
            </w:r>
            <w:r w:rsidR="00181042" w:rsidRPr="000356DB">
              <w:rPr>
                <w:i/>
              </w:rPr>
              <w:t>)</w:t>
            </w:r>
          </w:p>
        </w:tc>
        <w:tc>
          <w:tcPr>
            <w:tcW w:w="3006" w:type="dxa"/>
          </w:tcPr>
          <w:p w14:paraId="092AB7AD" w14:textId="77777777" w:rsidR="00C34BDD" w:rsidRPr="000356DB" w:rsidRDefault="00C34BDD" w:rsidP="000243E9"/>
        </w:tc>
      </w:tr>
      <w:tr w:rsidR="00C34BDD" w:rsidRPr="000356DB" w14:paraId="70A05FB6" w14:textId="77777777" w:rsidTr="00E9702B">
        <w:tc>
          <w:tcPr>
            <w:tcW w:w="3005" w:type="dxa"/>
          </w:tcPr>
          <w:p w14:paraId="06619DC8" w14:textId="2FDC7CF7" w:rsidR="00C34BDD" w:rsidRPr="000356DB" w:rsidRDefault="001C23C6" w:rsidP="000243E9">
            <w:r w:rsidRPr="000356DB">
              <w:t>Habits or lifestyle</w:t>
            </w:r>
          </w:p>
        </w:tc>
        <w:tc>
          <w:tcPr>
            <w:tcW w:w="3005" w:type="dxa"/>
          </w:tcPr>
          <w:p w14:paraId="69EEBB33" w14:textId="0AB8ED88" w:rsidR="00C34BDD" w:rsidRPr="000356DB" w:rsidRDefault="00C73862" w:rsidP="000243E9">
            <w:pPr>
              <w:rPr>
                <w:i/>
              </w:rPr>
            </w:pPr>
            <w:r w:rsidRPr="000356DB">
              <w:rPr>
                <w:i/>
              </w:rPr>
              <w:t xml:space="preserve">(e.g., bonus-malus systems </w:t>
            </w:r>
            <w:r w:rsidR="00CB3F3E" w:rsidRPr="000356DB">
              <w:rPr>
                <w:i/>
              </w:rPr>
              <w:t>encouraging product reuse)</w:t>
            </w:r>
          </w:p>
        </w:tc>
        <w:tc>
          <w:tcPr>
            <w:tcW w:w="3006" w:type="dxa"/>
          </w:tcPr>
          <w:p w14:paraId="0690808D" w14:textId="77777777" w:rsidR="00C34BDD" w:rsidRPr="000356DB" w:rsidRDefault="00C34BDD" w:rsidP="000243E9"/>
        </w:tc>
      </w:tr>
      <w:tr w:rsidR="00A870BF" w:rsidRPr="000356DB" w14:paraId="63AB2C6B" w14:textId="77777777" w:rsidTr="00E9702B">
        <w:trPr>
          <w:cnfStyle w:val="000000010000" w:firstRow="0" w:lastRow="0" w:firstColumn="0" w:lastColumn="0" w:oddVBand="0" w:evenVBand="0" w:oddHBand="0" w:evenHBand="1" w:firstRowFirstColumn="0" w:firstRowLastColumn="0" w:lastRowFirstColumn="0" w:lastRowLastColumn="0"/>
        </w:trPr>
        <w:tc>
          <w:tcPr>
            <w:tcW w:w="3005" w:type="dxa"/>
          </w:tcPr>
          <w:p w14:paraId="4D6DA5A6" w14:textId="01EEA39C" w:rsidR="00A870BF" w:rsidRPr="000356DB" w:rsidRDefault="001C23C6" w:rsidP="000243E9">
            <w:r w:rsidRPr="000356DB">
              <w:t>Personal values (e.g., altruistic values, caring for the environment)</w:t>
            </w:r>
          </w:p>
        </w:tc>
        <w:tc>
          <w:tcPr>
            <w:tcW w:w="3005" w:type="dxa"/>
          </w:tcPr>
          <w:p w14:paraId="0278BB42" w14:textId="285D5FEF" w:rsidR="00A870BF" w:rsidRPr="000356DB" w:rsidRDefault="00507B8C" w:rsidP="000243E9">
            <w:pPr>
              <w:rPr>
                <w:i/>
                <w:highlight w:val="yellow"/>
              </w:rPr>
            </w:pPr>
            <w:r w:rsidRPr="000356DB">
              <w:rPr>
                <w:i/>
              </w:rPr>
              <w:t xml:space="preserve">(e.g., school trips </w:t>
            </w:r>
            <w:r w:rsidR="004046F6" w:rsidRPr="000356DB">
              <w:rPr>
                <w:i/>
              </w:rPr>
              <w:t xml:space="preserve">to </w:t>
            </w:r>
            <w:r w:rsidR="00503559" w:rsidRPr="000356DB">
              <w:rPr>
                <w:i/>
              </w:rPr>
              <w:t>recycling plants)</w:t>
            </w:r>
          </w:p>
        </w:tc>
        <w:tc>
          <w:tcPr>
            <w:tcW w:w="3006" w:type="dxa"/>
          </w:tcPr>
          <w:p w14:paraId="6CB4804E" w14:textId="77777777" w:rsidR="00A870BF" w:rsidRPr="000356DB" w:rsidRDefault="00A870BF" w:rsidP="000243E9"/>
        </w:tc>
      </w:tr>
      <w:tr w:rsidR="00A870BF" w:rsidRPr="000356DB" w14:paraId="2E8EC788" w14:textId="77777777" w:rsidTr="00E9702B">
        <w:tc>
          <w:tcPr>
            <w:tcW w:w="3005" w:type="dxa"/>
          </w:tcPr>
          <w:p w14:paraId="3120AE85" w14:textId="6C77C1E8" w:rsidR="00A870BF" w:rsidRPr="000356DB" w:rsidRDefault="009D1F31" w:rsidP="000243E9">
            <w:r w:rsidRPr="000356DB">
              <w:t>Social influence or community values</w:t>
            </w:r>
          </w:p>
        </w:tc>
        <w:tc>
          <w:tcPr>
            <w:tcW w:w="3005" w:type="dxa"/>
          </w:tcPr>
          <w:p w14:paraId="4DD3FA8F" w14:textId="46D97CA7" w:rsidR="00A870BF" w:rsidRPr="000356DB" w:rsidRDefault="006E0D89" w:rsidP="000243E9">
            <w:pPr>
              <w:rPr>
                <w:i/>
              </w:rPr>
            </w:pPr>
            <w:r w:rsidRPr="000356DB">
              <w:rPr>
                <w:i/>
              </w:rPr>
              <w:t>(e.g., neighbourhood ‘squads’ ensuring communal recycling</w:t>
            </w:r>
            <w:r w:rsidR="0088125E" w:rsidRPr="000356DB">
              <w:rPr>
                <w:i/>
              </w:rPr>
              <w:t xml:space="preserve"> and information sharing)</w:t>
            </w:r>
          </w:p>
        </w:tc>
        <w:tc>
          <w:tcPr>
            <w:tcW w:w="3006" w:type="dxa"/>
          </w:tcPr>
          <w:p w14:paraId="58401C69" w14:textId="77777777" w:rsidR="00A870BF" w:rsidRPr="000356DB" w:rsidRDefault="00A870BF" w:rsidP="000243E9"/>
        </w:tc>
      </w:tr>
      <w:tr w:rsidR="00A870BF" w:rsidRPr="000356DB" w14:paraId="34514147" w14:textId="77777777" w:rsidTr="00E9702B">
        <w:trPr>
          <w:cnfStyle w:val="000000010000" w:firstRow="0" w:lastRow="0" w:firstColumn="0" w:lastColumn="0" w:oddVBand="0" w:evenVBand="0" w:oddHBand="0" w:evenHBand="1" w:firstRowFirstColumn="0" w:firstRowLastColumn="0" w:lastRowFirstColumn="0" w:lastRowLastColumn="0"/>
        </w:trPr>
        <w:tc>
          <w:tcPr>
            <w:tcW w:w="3005" w:type="dxa"/>
          </w:tcPr>
          <w:p w14:paraId="5AEB52BD" w14:textId="34006C19" w:rsidR="00A870BF" w:rsidRPr="000356DB" w:rsidRDefault="005F12EF" w:rsidP="000243E9">
            <w:r w:rsidRPr="000356DB">
              <w:rPr>
                <w:i/>
              </w:rPr>
              <w:t>Other (please specify)</w:t>
            </w:r>
          </w:p>
        </w:tc>
        <w:tc>
          <w:tcPr>
            <w:tcW w:w="3005" w:type="dxa"/>
          </w:tcPr>
          <w:p w14:paraId="10D1F275" w14:textId="77777777" w:rsidR="00A870BF" w:rsidRPr="000356DB" w:rsidRDefault="00A870BF" w:rsidP="000243E9"/>
        </w:tc>
        <w:tc>
          <w:tcPr>
            <w:tcW w:w="3006" w:type="dxa"/>
          </w:tcPr>
          <w:p w14:paraId="614F2527" w14:textId="77777777" w:rsidR="00A870BF" w:rsidRPr="000356DB" w:rsidRDefault="00A870BF" w:rsidP="000243E9"/>
        </w:tc>
      </w:tr>
      <w:tr w:rsidR="00A870BF" w:rsidRPr="000356DB" w14:paraId="7622A681" w14:textId="77777777" w:rsidTr="00BD34F7">
        <w:tc>
          <w:tcPr>
            <w:tcW w:w="9016" w:type="dxa"/>
            <w:gridSpan w:val="3"/>
            <w:shd w:val="clear" w:color="auto" w:fill="B3E0FF"/>
          </w:tcPr>
          <w:p w14:paraId="38FA51D8" w14:textId="67D638AA" w:rsidR="00A870BF" w:rsidRPr="000356DB" w:rsidRDefault="00F95BAD" w:rsidP="000243E9">
            <w:pPr>
              <w:rPr>
                <w:color w:val="006BB7"/>
              </w:rPr>
            </w:pPr>
            <w:r w:rsidRPr="000356DB">
              <w:rPr>
                <w:color w:val="006BB7"/>
              </w:rPr>
              <w:t>External factors (i.e., f</w:t>
            </w:r>
            <w:r w:rsidR="00A870BF" w:rsidRPr="000356DB">
              <w:rPr>
                <w:color w:val="006BB7"/>
              </w:rPr>
              <w:t>actors in one’s environment</w:t>
            </w:r>
            <w:r w:rsidRPr="000356DB">
              <w:rPr>
                <w:color w:val="006BB7"/>
              </w:rPr>
              <w:t>)</w:t>
            </w:r>
          </w:p>
        </w:tc>
      </w:tr>
      <w:tr w:rsidR="00A870BF" w:rsidRPr="000356DB" w14:paraId="52AB29E0" w14:textId="77777777" w:rsidTr="00E9702B">
        <w:trPr>
          <w:cnfStyle w:val="000000010000" w:firstRow="0" w:lastRow="0" w:firstColumn="0" w:lastColumn="0" w:oddVBand="0" w:evenVBand="0" w:oddHBand="0" w:evenHBand="1" w:firstRowFirstColumn="0" w:firstRowLastColumn="0" w:lastRowFirstColumn="0" w:lastRowLastColumn="0"/>
        </w:trPr>
        <w:tc>
          <w:tcPr>
            <w:tcW w:w="3005" w:type="dxa"/>
          </w:tcPr>
          <w:p w14:paraId="031A5708" w14:textId="3BC8C543" w:rsidR="00A870BF" w:rsidRPr="000356DB" w:rsidRDefault="00F4034D" w:rsidP="00F4034D">
            <w:pPr>
              <w:pStyle w:val="CommentText"/>
            </w:pPr>
            <w:r w:rsidRPr="000356DB">
              <w:t xml:space="preserve">Availability of supporting infrastructure </w:t>
            </w:r>
            <w:r w:rsidR="00610AF3" w:rsidRPr="000356DB">
              <w:t>(</w:t>
            </w:r>
            <w:r w:rsidRPr="000356DB">
              <w:t>e.g., repair/maintenance shops</w:t>
            </w:r>
            <w:r w:rsidR="006468BE" w:rsidRPr="000356DB">
              <w:t xml:space="preserve">, </w:t>
            </w:r>
            <w:r w:rsidR="00514B6E">
              <w:t xml:space="preserve">separate </w:t>
            </w:r>
            <w:r w:rsidR="006468BE" w:rsidRPr="000356DB">
              <w:t xml:space="preserve">waste </w:t>
            </w:r>
            <w:r w:rsidR="00514B6E">
              <w:t>collection</w:t>
            </w:r>
            <w:r w:rsidR="00514B6E" w:rsidRPr="000356DB">
              <w:t xml:space="preserve"> </w:t>
            </w:r>
            <w:r w:rsidR="006468BE" w:rsidRPr="000356DB">
              <w:t>infrastructure</w:t>
            </w:r>
            <w:r w:rsidR="00610AF3" w:rsidRPr="000356DB">
              <w:t>)</w:t>
            </w:r>
            <w:r w:rsidRPr="000356DB">
              <w:t xml:space="preserve"> </w:t>
            </w:r>
          </w:p>
        </w:tc>
        <w:tc>
          <w:tcPr>
            <w:tcW w:w="3005" w:type="dxa"/>
          </w:tcPr>
          <w:p w14:paraId="248991CB" w14:textId="10022508" w:rsidR="00A870BF" w:rsidRPr="000356DB" w:rsidRDefault="00EF44E7" w:rsidP="004812EA">
            <w:pPr>
              <w:rPr>
                <w:i/>
              </w:rPr>
            </w:pPr>
            <w:r w:rsidRPr="000356DB">
              <w:rPr>
                <w:i/>
              </w:rPr>
              <w:t xml:space="preserve">(e.g., </w:t>
            </w:r>
            <w:r w:rsidR="004812EA">
              <w:rPr>
                <w:i/>
              </w:rPr>
              <w:t>promoting repair cafes</w:t>
            </w:r>
            <w:r w:rsidRPr="000356DB">
              <w:rPr>
                <w:i/>
              </w:rPr>
              <w:t>)</w:t>
            </w:r>
          </w:p>
        </w:tc>
        <w:tc>
          <w:tcPr>
            <w:tcW w:w="3006" w:type="dxa"/>
          </w:tcPr>
          <w:p w14:paraId="4CAAE1F4" w14:textId="77777777" w:rsidR="00A870BF" w:rsidRPr="000356DB" w:rsidRDefault="00A870BF" w:rsidP="000243E9"/>
        </w:tc>
      </w:tr>
      <w:tr w:rsidR="00CA0DEA" w:rsidRPr="000356DB" w14:paraId="2542E253" w14:textId="77777777" w:rsidTr="00E9702B">
        <w:tc>
          <w:tcPr>
            <w:tcW w:w="3005" w:type="dxa"/>
          </w:tcPr>
          <w:p w14:paraId="56EB7544" w14:textId="3BE04EAE" w:rsidR="00CA0DEA" w:rsidRPr="000356DB" w:rsidRDefault="00CA0DEA" w:rsidP="00F4034D">
            <w:pPr>
              <w:pStyle w:val="CommentText"/>
            </w:pPr>
            <w:r w:rsidRPr="000356DB">
              <w:lastRenderedPageBreak/>
              <w:t xml:space="preserve">Proximity </w:t>
            </w:r>
            <w:r w:rsidR="00223443" w:rsidRPr="000356DB">
              <w:t xml:space="preserve">(or ease-of-access) </w:t>
            </w:r>
            <w:r w:rsidRPr="000356DB">
              <w:t>to supporting infrastructure (e.g., repair/maintenance shops</w:t>
            </w:r>
            <w:r w:rsidR="006468BE" w:rsidRPr="000356DB">
              <w:t>, waste separation infrastructure</w:t>
            </w:r>
            <w:r w:rsidRPr="000356DB">
              <w:t>)</w:t>
            </w:r>
          </w:p>
        </w:tc>
        <w:tc>
          <w:tcPr>
            <w:tcW w:w="3005" w:type="dxa"/>
          </w:tcPr>
          <w:p w14:paraId="21FEA6BE" w14:textId="1F853103" w:rsidR="00CA0DEA" w:rsidRPr="000356DB" w:rsidRDefault="00472EAD" w:rsidP="000243E9">
            <w:pPr>
              <w:rPr>
                <w:i/>
              </w:rPr>
            </w:pPr>
            <w:r w:rsidRPr="000356DB">
              <w:rPr>
                <w:i/>
              </w:rPr>
              <w:t xml:space="preserve">(e.g., </w:t>
            </w:r>
            <w:r w:rsidR="009D6CD6" w:rsidRPr="000356DB">
              <w:rPr>
                <w:i/>
              </w:rPr>
              <w:t xml:space="preserve">incentives to attract repair shops </w:t>
            </w:r>
            <w:r w:rsidR="00160BF0" w:rsidRPr="000356DB">
              <w:rPr>
                <w:i/>
              </w:rPr>
              <w:t>within a certain radius of every home)</w:t>
            </w:r>
          </w:p>
        </w:tc>
        <w:tc>
          <w:tcPr>
            <w:tcW w:w="3006" w:type="dxa"/>
          </w:tcPr>
          <w:p w14:paraId="414F9639" w14:textId="77777777" w:rsidR="00CA0DEA" w:rsidRPr="000356DB" w:rsidRDefault="00CA0DEA" w:rsidP="000243E9"/>
        </w:tc>
      </w:tr>
      <w:tr w:rsidR="00F4034D" w:rsidRPr="000356DB" w14:paraId="63840CA9" w14:textId="77777777" w:rsidTr="00E9702B">
        <w:trPr>
          <w:cnfStyle w:val="000000010000" w:firstRow="0" w:lastRow="0" w:firstColumn="0" w:lastColumn="0" w:oddVBand="0" w:evenVBand="0" w:oddHBand="0" w:evenHBand="1" w:firstRowFirstColumn="0" w:firstRowLastColumn="0" w:lastRowFirstColumn="0" w:lastRowLastColumn="0"/>
        </w:trPr>
        <w:tc>
          <w:tcPr>
            <w:tcW w:w="3005" w:type="dxa"/>
          </w:tcPr>
          <w:p w14:paraId="39F83059" w14:textId="710F8E4A" w:rsidR="00F4034D" w:rsidRPr="000356DB" w:rsidRDefault="005129F6" w:rsidP="00F4034D">
            <w:pPr>
              <w:pStyle w:val="CommentText"/>
            </w:pPr>
            <w:r w:rsidRPr="000356DB">
              <w:t>Availability of</w:t>
            </w:r>
            <w:r w:rsidR="00360E8E" w:rsidRPr="000356DB">
              <w:t xml:space="preserve"> circular products</w:t>
            </w:r>
            <w:r w:rsidR="00D35C7D" w:rsidRPr="000356DB">
              <w:t xml:space="preserve"> </w:t>
            </w:r>
          </w:p>
        </w:tc>
        <w:tc>
          <w:tcPr>
            <w:tcW w:w="3005" w:type="dxa"/>
          </w:tcPr>
          <w:p w14:paraId="01638966" w14:textId="14711F8C" w:rsidR="00F4034D" w:rsidRPr="000356DB" w:rsidRDefault="00921F2E" w:rsidP="000243E9">
            <w:pPr>
              <w:rPr>
                <w:i/>
              </w:rPr>
            </w:pPr>
            <w:r w:rsidRPr="000356DB">
              <w:rPr>
                <w:i/>
              </w:rPr>
              <w:t>(e.g., targets for market uptake of circular products)</w:t>
            </w:r>
          </w:p>
        </w:tc>
        <w:tc>
          <w:tcPr>
            <w:tcW w:w="3006" w:type="dxa"/>
          </w:tcPr>
          <w:p w14:paraId="629AB0F8" w14:textId="77777777" w:rsidR="00F4034D" w:rsidRPr="000356DB" w:rsidRDefault="00F4034D" w:rsidP="000243E9"/>
        </w:tc>
      </w:tr>
      <w:tr w:rsidR="005F12EF" w:rsidRPr="000356DB" w14:paraId="4812DDDD" w14:textId="77777777" w:rsidTr="00E9702B">
        <w:tc>
          <w:tcPr>
            <w:tcW w:w="3005" w:type="dxa"/>
          </w:tcPr>
          <w:p w14:paraId="2C6D1695" w14:textId="0F3FD693" w:rsidR="005F12EF" w:rsidRPr="000356DB" w:rsidRDefault="005F12EF" w:rsidP="00F4034D">
            <w:pPr>
              <w:pStyle w:val="CommentText"/>
            </w:pPr>
            <w:r w:rsidRPr="000356DB">
              <w:rPr>
                <w:i/>
              </w:rPr>
              <w:t>Other (please specify)</w:t>
            </w:r>
          </w:p>
        </w:tc>
        <w:tc>
          <w:tcPr>
            <w:tcW w:w="3005" w:type="dxa"/>
          </w:tcPr>
          <w:p w14:paraId="70081689" w14:textId="77777777" w:rsidR="005F12EF" w:rsidRPr="000356DB" w:rsidRDefault="005F12EF" w:rsidP="000243E9"/>
        </w:tc>
        <w:tc>
          <w:tcPr>
            <w:tcW w:w="3006" w:type="dxa"/>
          </w:tcPr>
          <w:p w14:paraId="01557FC2" w14:textId="77777777" w:rsidR="005F12EF" w:rsidRPr="000356DB" w:rsidRDefault="005F12EF" w:rsidP="000243E9"/>
        </w:tc>
      </w:tr>
      <w:tr w:rsidR="00F32697" w:rsidRPr="000356DB" w14:paraId="79F8EFCE" w14:textId="77777777" w:rsidTr="00F32697">
        <w:trPr>
          <w:cnfStyle w:val="000000010000" w:firstRow="0" w:lastRow="0" w:firstColumn="0" w:lastColumn="0" w:oddVBand="0" w:evenVBand="0" w:oddHBand="0" w:evenHBand="1" w:firstRowFirstColumn="0" w:firstRowLastColumn="0" w:lastRowFirstColumn="0" w:lastRowLastColumn="0"/>
        </w:trPr>
        <w:tc>
          <w:tcPr>
            <w:tcW w:w="9016" w:type="dxa"/>
            <w:gridSpan w:val="3"/>
            <w:shd w:val="clear" w:color="auto" w:fill="B3E0FF"/>
          </w:tcPr>
          <w:p w14:paraId="585CC4DB" w14:textId="03C62E65" w:rsidR="00F32697" w:rsidRPr="000356DB" w:rsidRDefault="00F32697" w:rsidP="000243E9">
            <w:r w:rsidRPr="000356DB">
              <w:rPr>
                <w:color w:val="006BB7"/>
              </w:rPr>
              <w:t>Other factors or features</w:t>
            </w:r>
          </w:p>
        </w:tc>
      </w:tr>
      <w:tr w:rsidR="00F32697" w:rsidRPr="000356DB" w14:paraId="301A2BD7" w14:textId="77777777" w:rsidTr="00E9702B">
        <w:tc>
          <w:tcPr>
            <w:tcW w:w="3005" w:type="dxa"/>
          </w:tcPr>
          <w:p w14:paraId="200362AD" w14:textId="4F9EC7F7" w:rsidR="00F32697" w:rsidRPr="000356DB" w:rsidRDefault="00F32697" w:rsidP="00F4034D">
            <w:pPr>
              <w:pStyle w:val="CommentText"/>
              <w:rPr>
                <w:i/>
              </w:rPr>
            </w:pPr>
            <w:r w:rsidRPr="000356DB">
              <w:rPr>
                <w:i/>
              </w:rPr>
              <w:t>Other (please specify)</w:t>
            </w:r>
          </w:p>
        </w:tc>
        <w:tc>
          <w:tcPr>
            <w:tcW w:w="3005" w:type="dxa"/>
          </w:tcPr>
          <w:p w14:paraId="3CED3B26" w14:textId="77777777" w:rsidR="00F32697" w:rsidRPr="000356DB" w:rsidRDefault="00F32697" w:rsidP="000243E9"/>
        </w:tc>
        <w:tc>
          <w:tcPr>
            <w:tcW w:w="3006" w:type="dxa"/>
          </w:tcPr>
          <w:p w14:paraId="7402F266" w14:textId="77777777" w:rsidR="00F32697" w:rsidRPr="000356DB" w:rsidRDefault="00F32697" w:rsidP="000243E9"/>
        </w:tc>
      </w:tr>
    </w:tbl>
    <w:p w14:paraId="0CACCDEC" w14:textId="5C64887C" w:rsidR="0039039F" w:rsidRPr="000356DB" w:rsidRDefault="0039039F" w:rsidP="00EA0801"/>
    <w:p w14:paraId="1EF001E1" w14:textId="23229804" w:rsidR="00CC2C45" w:rsidRPr="000356DB" w:rsidRDefault="00D32C89" w:rsidP="00EA0801">
      <w:r w:rsidRPr="000356DB">
        <w:t>Q2.</w:t>
      </w:r>
      <w:r w:rsidR="00615F39">
        <w:t>2.2.</w:t>
      </w:r>
      <w:r w:rsidRPr="000356DB">
        <w:t xml:space="preserve"> </w:t>
      </w:r>
      <w:r w:rsidR="00CC2C45" w:rsidRPr="000356DB">
        <w:t xml:space="preserve">Thinking of the above factors and consumer features, are there any </w:t>
      </w:r>
      <w:r w:rsidR="008E4E0A" w:rsidRPr="000356DB">
        <w:t>other</w:t>
      </w:r>
      <w:r w:rsidR="00CC2C45" w:rsidRPr="000356DB">
        <w:t xml:space="preserve"> </w:t>
      </w:r>
      <w:r w:rsidR="00AE3166" w:rsidRPr="000356DB">
        <w:t xml:space="preserve">‘consumer segments’ that public policies in your country have targeted, with the aim to increase the uptake of circular practices? If yes, please describe </w:t>
      </w:r>
      <w:r w:rsidR="008E4E0A" w:rsidRPr="000356DB">
        <w:t>them in the textbox below</w:t>
      </w:r>
      <w:r w:rsidRPr="000356DB">
        <w:t>.</w:t>
      </w:r>
    </w:p>
    <w:tbl>
      <w:tblPr>
        <w:tblStyle w:val="Ricardotable"/>
        <w:tblW w:w="9067" w:type="dxa"/>
        <w:tblLook w:val="04A0" w:firstRow="1" w:lastRow="0" w:firstColumn="1" w:lastColumn="0" w:noHBand="0" w:noVBand="1"/>
      </w:tblPr>
      <w:tblGrid>
        <w:gridCol w:w="9067"/>
      </w:tblGrid>
      <w:tr w:rsidR="00D32C89" w:rsidRPr="000356DB" w14:paraId="7804C0A0" w14:textId="77777777" w:rsidTr="000356DB">
        <w:trPr>
          <w:cnfStyle w:val="100000000000" w:firstRow="1" w:lastRow="0" w:firstColumn="0" w:lastColumn="0" w:oddVBand="0" w:evenVBand="0" w:oddHBand="0" w:evenHBand="0" w:firstRowFirstColumn="0" w:firstRowLastColumn="0" w:lastRowFirstColumn="0" w:lastRowLastColumn="0"/>
        </w:trPr>
        <w:tc>
          <w:tcPr>
            <w:tcW w:w="9067" w:type="dxa"/>
            <w:shd w:val="clear" w:color="auto" w:fill="auto"/>
          </w:tcPr>
          <w:p w14:paraId="3957CA9D" w14:textId="77777777" w:rsidR="00D32C89" w:rsidRPr="000356DB" w:rsidRDefault="00D32C89" w:rsidP="002A0D53">
            <w:pPr>
              <w:jc w:val="left"/>
              <w:rPr>
                <w:color w:val="006BB7"/>
              </w:rPr>
            </w:pPr>
          </w:p>
        </w:tc>
      </w:tr>
    </w:tbl>
    <w:p w14:paraId="711B68F7" w14:textId="77777777" w:rsidR="008A1978" w:rsidRPr="000356DB" w:rsidRDefault="008A1978" w:rsidP="00B61752"/>
    <w:p w14:paraId="1EC30C74" w14:textId="6094FD38" w:rsidR="006F517B" w:rsidRPr="000356DB" w:rsidRDefault="006F517B" w:rsidP="000D1223">
      <w:pPr>
        <w:pStyle w:val="Heading2"/>
        <w:numPr>
          <w:ilvl w:val="0"/>
          <w:numId w:val="0"/>
        </w:numPr>
        <w:ind w:left="578" w:hanging="578"/>
      </w:pPr>
      <w:r w:rsidRPr="000356DB">
        <w:t xml:space="preserve">Section </w:t>
      </w:r>
      <w:r w:rsidR="001B5135" w:rsidRPr="000356DB">
        <w:t>II</w:t>
      </w:r>
      <w:r w:rsidRPr="000356DB">
        <w:t>: Final remarks</w:t>
      </w:r>
    </w:p>
    <w:p w14:paraId="34080525" w14:textId="1D297B17" w:rsidR="00F732C1" w:rsidRPr="000356DB" w:rsidRDefault="00D36AE3" w:rsidP="0059193F">
      <w:r w:rsidRPr="000356DB">
        <w:t>Q</w:t>
      </w:r>
      <w:r w:rsidR="00344FD5">
        <w:t>3</w:t>
      </w:r>
      <w:r w:rsidRPr="000356DB">
        <w:t>.1</w:t>
      </w:r>
      <w:r w:rsidR="00E271D9" w:rsidRPr="000356DB">
        <w:t xml:space="preserve">. Do you wish to add any </w:t>
      </w:r>
      <w:r w:rsidR="00E271D9" w:rsidRPr="000356DB">
        <w:rPr>
          <w:b/>
          <w:bCs/>
        </w:rPr>
        <w:t>further reflections</w:t>
      </w:r>
      <w:r w:rsidR="00E271D9" w:rsidRPr="000356DB">
        <w:t xml:space="preserve"> </w:t>
      </w:r>
      <w:r w:rsidR="003A5AD8" w:rsidRPr="000356DB">
        <w:t>that may be relevant to this study?</w:t>
      </w:r>
    </w:p>
    <w:tbl>
      <w:tblPr>
        <w:tblStyle w:val="Ricardotable"/>
        <w:tblW w:w="9067" w:type="dxa"/>
        <w:tblLook w:val="04A0" w:firstRow="1" w:lastRow="0" w:firstColumn="1" w:lastColumn="0" w:noHBand="0" w:noVBand="1"/>
      </w:tblPr>
      <w:tblGrid>
        <w:gridCol w:w="9067"/>
      </w:tblGrid>
      <w:tr w:rsidR="003A5AD8" w:rsidRPr="000356DB" w14:paraId="34879D1B" w14:textId="77777777" w:rsidTr="000356DB">
        <w:trPr>
          <w:cnfStyle w:val="100000000000" w:firstRow="1" w:lastRow="0" w:firstColumn="0" w:lastColumn="0" w:oddVBand="0" w:evenVBand="0" w:oddHBand="0" w:evenHBand="0" w:firstRowFirstColumn="0" w:firstRowLastColumn="0" w:lastRowFirstColumn="0" w:lastRowLastColumn="0"/>
        </w:trPr>
        <w:tc>
          <w:tcPr>
            <w:tcW w:w="9067" w:type="dxa"/>
            <w:shd w:val="clear" w:color="auto" w:fill="auto"/>
          </w:tcPr>
          <w:p w14:paraId="14C068F8" w14:textId="73A38200" w:rsidR="003A5AD8" w:rsidRPr="000356DB" w:rsidRDefault="003A5AD8" w:rsidP="002A0D53">
            <w:pPr>
              <w:jc w:val="left"/>
              <w:rPr>
                <w:color w:val="006BB7"/>
              </w:rPr>
            </w:pPr>
          </w:p>
        </w:tc>
      </w:tr>
    </w:tbl>
    <w:p w14:paraId="19DED5E5" w14:textId="2B30D184" w:rsidR="003A5AD8" w:rsidRPr="000356DB" w:rsidRDefault="003A5AD8" w:rsidP="0059193F"/>
    <w:p w14:paraId="0AE27DDD" w14:textId="249EC9C2" w:rsidR="00EF331D" w:rsidRPr="000356DB" w:rsidRDefault="00EF331D" w:rsidP="0059193F">
      <w:r w:rsidRPr="000356DB">
        <w:t>Q</w:t>
      </w:r>
      <w:r w:rsidR="00344FD5">
        <w:t>3</w:t>
      </w:r>
      <w:r w:rsidRPr="000356DB">
        <w:t>.2. Do you wish to share any relevant document</w:t>
      </w:r>
      <w:r w:rsidR="007854C3" w:rsidRPr="000356DB">
        <w:t>(</w:t>
      </w:r>
      <w:r w:rsidRPr="000356DB">
        <w:t>s</w:t>
      </w:r>
      <w:r w:rsidR="007854C3" w:rsidRPr="000356DB">
        <w:t>)</w:t>
      </w:r>
      <w:r w:rsidRPr="000356DB">
        <w:t xml:space="preserve"> (e.g., studies, reports, policy documents</w:t>
      </w:r>
      <w:r w:rsidR="00EA18C9" w:rsidRPr="000356DB">
        <w:t xml:space="preserve">) that could be useful to this study? </w:t>
      </w:r>
      <w:r w:rsidR="00F02799" w:rsidRPr="000356DB">
        <w:t>Please add links or references in the textbox below, or send your document(s</w:t>
      </w:r>
      <w:r w:rsidR="007854C3" w:rsidRPr="000356DB">
        <w:t>)</w:t>
      </w:r>
      <w:r w:rsidR="00F02799" w:rsidRPr="000356DB">
        <w:t xml:space="preserve"> as an attachment to your response (describing the relevance of the document(s) in the textbox below).</w:t>
      </w:r>
      <w:r w:rsidR="0026134B" w:rsidRPr="000356DB">
        <w:t xml:space="preserve"> </w:t>
      </w:r>
      <w:r w:rsidR="0026134B" w:rsidRPr="000356DB">
        <w:rPr>
          <w:b/>
          <w:bCs/>
        </w:rPr>
        <w:t>You can share supporting evidence in</w:t>
      </w:r>
      <w:r w:rsidR="0026134B" w:rsidRPr="000356DB">
        <w:t xml:space="preserve"> </w:t>
      </w:r>
      <w:r w:rsidR="0026134B" w:rsidRPr="000356DB">
        <w:rPr>
          <w:b/>
          <w:bCs/>
        </w:rPr>
        <w:t>any EEA language</w:t>
      </w:r>
      <w:r w:rsidR="005560B9">
        <w:t xml:space="preserve"> </w:t>
      </w:r>
      <w:r w:rsidR="005560B9" w:rsidRPr="002724DD">
        <w:t>but if English versions/summaries are available, we would b</w:t>
      </w:r>
      <w:r w:rsidR="005560B9" w:rsidRPr="00EE5B0F">
        <w:t>e grateful to receive them</w:t>
      </w:r>
      <w:r w:rsidR="005560B9" w:rsidRPr="00EE5B0F">
        <w:rPr>
          <w:bCs/>
        </w:rPr>
        <w:t>.</w:t>
      </w:r>
    </w:p>
    <w:tbl>
      <w:tblPr>
        <w:tblStyle w:val="Ricardotable"/>
        <w:tblW w:w="9067" w:type="dxa"/>
        <w:tblLook w:val="04A0" w:firstRow="1" w:lastRow="0" w:firstColumn="1" w:lastColumn="0" w:noHBand="0" w:noVBand="1"/>
      </w:tblPr>
      <w:tblGrid>
        <w:gridCol w:w="9067"/>
      </w:tblGrid>
      <w:tr w:rsidR="00F02799" w:rsidRPr="000356DB" w14:paraId="27B43C51" w14:textId="77777777" w:rsidTr="000356DB">
        <w:trPr>
          <w:cnfStyle w:val="100000000000" w:firstRow="1" w:lastRow="0" w:firstColumn="0" w:lastColumn="0" w:oddVBand="0" w:evenVBand="0" w:oddHBand="0" w:evenHBand="0" w:firstRowFirstColumn="0" w:firstRowLastColumn="0" w:lastRowFirstColumn="0" w:lastRowLastColumn="0"/>
        </w:trPr>
        <w:tc>
          <w:tcPr>
            <w:tcW w:w="9067" w:type="dxa"/>
            <w:shd w:val="clear" w:color="auto" w:fill="auto"/>
          </w:tcPr>
          <w:p w14:paraId="7ADDBD4D" w14:textId="77777777" w:rsidR="00F02799" w:rsidRPr="000356DB" w:rsidRDefault="00F02799" w:rsidP="002A0D53">
            <w:pPr>
              <w:jc w:val="left"/>
              <w:rPr>
                <w:color w:val="006BB7"/>
              </w:rPr>
            </w:pPr>
          </w:p>
        </w:tc>
      </w:tr>
    </w:tbl>
    <w:p w14:paraId="05CA25F0" w14:textId="1253A367" w:rsidR="004803F6" w:rsidRPr="000356DB" w:rsidRDefault="004803F6" w:rsidP="00143583">
      <w:pPr>
        <w:tabs>
          <w:tab w:val="left" w:pos="1590"/>
        </w:tabs>
      </w:pPr>
      <w:r w:rsidRPr="000356DB">
        <w:rPr>
          <w:noProof/>
          <w:lang w:eastAsia="en-GB"/>
        </w:rPr>
        <mc:AlternateContent>
          <mc:Choice Requires="wps">
            <w:drawing>
              <wp:anchor distT="0" distB="0" distL="114300" distR="114300" simplePos="0" relativeHeight="251658240" behindDoc="0" locked="0" layoutInCell="1" allowOverlap="1" wp14:anchorId="41C9D68B" wp14:editId="7738746D">
                <wp:simplePos x="0" y="0"/>
                <wp:positionH relativeFrom="page">
                  <wp:align>left</wp:align>
                </wp:positionH>
                <wp:positionV relativeFrom="paragraph">
                  <wp:posOffset>7327957</wp:posOffset>
                </wp:positionV>
                <wp:extent cx="3643952" cy="1501140"/>
                <wp:effectExtent l="0" t="0" r="13970" b="22860"/>
                <wp:wrapNone/>
                <wp:docPr id="24" name="Rectangle 24"/>
                <wp:cNvGraphicFramePr/>
                <a:graphic xmlns:a="http://schemas.openxmlformats.org/drawingml/2006/main">
                  <a:graphicData uri="http://schemas.microsoft.com/office/word/2010/wordprocessingShape">
                    <wps:wsp>
                      <wps:cNvSpPr/>
                      <wps:spPr>
                        <a:xfrm>
                          <a:off x="0" y="0"/>
                          <a:ext cx="3643952" cy="1501140"/>
                        </a:xfrm>
                        <a:prstGeom prst="rect">
                          <a:avLst/>
                        </a:prstGeom>
                        <a:solidFill>
                          <a:srgbClr val="006BB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3A10E7AD" id="Rectangle 24" o:spid="_x0000_s1026" style="position:absolute;margin-left:0;margin-top:577pt;width:286.95pt;height:118.2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" fillcolor="#006bb7" strokecolor="#1f3763 [1604]" strokeweight="1pt">
                <w10:wrap anchorx="page"/>
              </v:rect>
            </w:pict>
          </mc:Fallback>
        </mc:AlternateContent>
      </w:r>
    </w:p>
    <w:sectPr w:rsidR="004803F6" w:rsidRPr="000356DB" w:rsidSect="009D0B93">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11F1" w14:textId="77777777" w:rsidR="00A07C8D" w:rsidRDefault="00A07C8D" w:rsidP="00EE08B1">
      <w:r>
        <w:separator/>
      </w:r>
    </w:p>
  </w:endnote>
  <w:endnote w:type="continuationSeparator" w:id="0">
    <w:p w14:paraId="0F3BE853" w14:textId="77777777" w:rsidR="00A07C8D" w:rsidRDefault="00A07C8D" w:rsidP="00EE08B1">
      <w:r>
        <w:continuationSeparator/>
      </w:r>
    </w:p>
  </w:endnote>
  <w:endnote w:type="continuationNotice" w:id="1">
    <w:p w14:paraId="773CCBFC" w14:textId="77777777" w:rsidR="00A07C8D" w:rsidRDefault="00A07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FAFA" w14:textId="77777777" w:rsidR="00D529B6" w:rsidRPr="004803F6" w:rsidRDefault="00D529B6" w:rsidP="00480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49D3" w14:textId="77777777" w:rsidR="00A07C8D" w:rsidRDefault="00A07C8D" w:rsidP="00EE08B1">
      <w:r>
        <w:separator/>
      </w:r>
    </w:p>
  </w:footnote>
  <w:footnote w:type="continuationSeparator" w:id="0">
    <w:p w14:paraId="353011C5" w14:textId="77777777" w:rsidR="00A07C8D" w:rsidRDefault="00A07C8D" w:rsidP="00EE08B1">
      <w:r>
        <w:continuationSeparator/>
      </w:r>
    </w:p>
  </w:footnote>
  <w:footnote w:type="continuationNotice" w:id="1">
    <w:p w14:paraId="325B1E27" w14:textId="77777777" w:rsidR="00A07C8D" w:rsidRDefault="00A07C8D">
      <w:pPr>
        <w:spacing w:after="0" w:line="240" w:lineRule="auto"/>
      </w:pPr>
    </w:p>
  </w:footnote>
  <w:footnote w:id="2">
    <w:p w14:paraId="1DF3DEB5" w14:textId="559F913C" w:rsidR="00D529B6" w:rsidRPr="00714306" w:rsidRDefault="00D529B6">
      <w:pPr>
        <w:pStyle w:val="FootnoteText"/>
        <w:rPr>
          <w:lang w:val="en-US"/>
        </w:rPr>
      </w:pPr>
      <w:r>
        <w:rPr>
          <w:rStyle w:val="FootnoteReference"/>
        </w:rPr>
        <w:footnoteRef/>
      </w:r>
      <w:r>
        <w:t xml:space="preserve"> </w:t>
      </w:r>
      <w:hyperlink r:id="rId1" w:history="1">
        <w:r w:rsidRPr="0053556E">
          <w:rPr>
            <w:rStyle w:val="Hyperlink"/>
          </w:rPr>
          <w:t>https://www.ellenmacarthurfoundation.org/circular-economy/what-is-the-circular-economy</w:t>
        </w:r>
      </w:hyperlink>
      <w:r>
        <w:t xml:space="preserve"> </w:t>
      </w:r>
    </w:p>
  </w:footnote>
  <w:footnote w:id="3">
    <w:p w14:paraId="0FFE4B79" w14:textId="2D715B25" w:rsidR="00D529B6" w:rsidRPr="00264733" w:rsidRDefault="00D529B6">
      <w:pPr>
        <w:pStyle w:val="FootnoteText"/>
        <w:rPr>
          <w:lang w:val="en-US"/>
        </w:rPr>
      </w:pPr>
      <w:r>
        <w:rPr>
          <w:rStyle w:val="FootnoteReference"/>
        </w:rPr>
        <w:footnoteRef/>
      </w:r>
      <w:r>
        <w:t xml:space="preserve"> </w:t>
      </w:r>
      <w:hyperlink r:id="rId2" w:history="1">
        <w:r w:rsidRPr="0053556E">
          <w:rPr>
            <w:rStyle w:val="Hyperlink"/>
          </w:rPr>
          <w:t>https://ec.europa.eu/environment/circular-economy/pdf/new_circular_economy_action_plan.pdf</w:t>
        </w:r>
      </w:hyperlink>
      <w:r>
        <w:t xml:space="preserve"> </w:t>
      </w:r>
    </w:p>
  </w:footnote>
  <w:footnote w:id="4">
    <w:p w14:paraId="09228680" w14:textId="54FF026C" w:rsidR="00D529B6" w:rsidRPr="00007882" w:rsidRDefault="00D529B6">
      <w:pPr>
        <w:pStyle w:val="FootnoteText"/>
        <w:rPr>
          <w:lang w:val="en-US"/>
        </w:rPr>
      </w:pPr>
      <w:r>
        <w:rPr>
          <w:rStyle w:val="FootnoteReference"/>
        </w:rPr>
        <w:footnoteRef/>
      </w:r>
      <w:r>
        <w:t xml:space="preserve"> </w:t>
      </w:r>
      <w:hyperlink r:id="rId3" w:history="1">
        <w:r w:rsidRPr="0053556E">
          <w:rPr>
            <w:rStyle w:val="Hyperlink"/>
          </w:rPr>
          <w:t>https://ec.europa.eu/info/law/law-topic/data-protection_en</w:t>
        </w:r>
      </w:hyperlink>
      <w:r>
        <w:t xml:space="preserve"> </w:t>
      </w:r>
    </w:p>
  </w:footnote>
  <w:footnote w:id="5">
    <w:p w14:paraId="7A0C6506" w14:textId="6FB78975" w:rsidR="00330B02" w:rsidRDefault="00330B02">
      <w:pPr>
        <w:pStyle w:val="FootnoteText"/>
      </w:pPr>
      <w:r>
        <w:rPr>
          <w:rStyle w:val="FootnoteReference"/>
        </w:rPr>
        <w:footnoteRef/>
      </w:r>
      <w:r>
        <w:t xml:space="preserve"> </w:t>
      </w:r>
      <w:r w:rsidR="00A53D59">
        <w:t xml:space="preserve">According to Thaler and Sunstein (2008), </w:t>
      </w:r>
      <w:r w:rsidR="009670BD">
        <w:t>n</w:t>
      </w:r>
      <w:r>
        <w:t xml:space="preserve">udges are defined as </w:t>
      </w:r>
      <w:r w:rsidRPr="00330B02">
        <w:t>aspect</w:t>
      </w:r>
      <w:r w:rsidR="00A53D59">
        <w:t>s or alterations</w:t>
      </w:r>
      <w:r w:rsidRPr="00330B02">
        <w:t xml:space="preserve"> of the choice architecture that </w:t>
      </w:r>
      <w:r w:rsidR="00A53D59">
        <w:t>influences</w:t>
      </w:r>
      <w:r w:rsidRPr="00330B02">
        <w:t xml:space="preserve"> people’s behavio</w:t>
      </w:r>
      <w:r w:rsidR="00A53D59">
        <w:t>u</w:t>
      </w:r>
      <w:r w:rsidRPr="00330B02">
        <w:t xml:space="preserve">r in a predictable way without forbidding any options or significantly changing their economic incentives. </w:t>
      </w:r>
      <w:r w:rsidR="009670BD">
        <w:t>Thaler and Sunstein (2008) specify,</w:t>
      </w:r>
      <w:r w:rsidRPr="00330B02">
        <w:t xml:space="preserve"> </w:t>
      </w:r>
      <w:r w:rsidR="009670BD">
        <w:t>“</w:t>
      </w:r>
      <w:r w:rsidRPr="00330B02">
        <w:t>Putting the fruit at eye level counts as a nudge. Banning junk food does not.</w:t>
      </w:r>
      <w:r w:rsidR="009670BD">
        <w:t xml:space="preserve">” (p.6 of </w:t>
      </w:r>
      <w:r w:rsidR="00754BE8" w:rsidRPr="0075338B">
        <w:rPr>
          <w:i/>
          <w:iCs/>
        </w:rPr>
        <w:t>Nudge</w:t>
      </w:r>
      <w:r w:rsidR="00754BE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05FC" w14:textId="77777777" w:rsidR="00D529B6" w:rsidRDefault="00D52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8A1"/>
    <w:multiLevelType w:val="hybridMultilevel"/>
    <w:tmpl w:val="392CA4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EA1302"/>
    <w:multiLevelType w:val="multilevel"/>
    <w:tmpl w:val="6E5421E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AB4D68"/>
    <w:multiLevelType w:val="hybridMultilevel"/>
    <w:tmpl w:val="9F9A63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B9540B"/>
    <w:multiLevelType w:val="hybridMultilevel"/>
    <w:tmpl w:val="D0A60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145CD7"/>
    <w:multiLevelType w:val="hybridMultilevel"/>
    <w:tmpl w:val="D026EB6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BA54979"/>
    <w:multiLevelType w:val="hybridMultilevel"/>
    <w:tmpl w:val="D35ACF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2C35621"/>
    <w:multiLevelType w:val="hybridMultilevel"/>
    <w:tmpl w:val="00CAC518"/>
    <w:lvl w:ilvl="0" w:tplc="0470B4FE">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9711E7E"/>
    <w:multiLevelType w:val="hybridMultilevel"/>
    <w:tmpl w:val="F038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F1BA8"/>
    <w:multiLevelType w:val="hybridMultilevel"/>
    <w:tmpl w:val="D1EAA27A"/>
    <w:lvl w:ilvl="0" w:tplc="14EAD3DE">
      <w:start w:val="1"/>
      <w:numFmt w:val="bullet"/>
      <w:lvlText w:val=""/>
      <w:lvlJc w:val="left"/>
      <w:pPr>
        <w:ind w:left="720" w:hanging="360"/>
      </w:pPr>
      <w:rPr>
        <w:rFonts w:ascii="Symbol" w:hAnsi="Symbol" w:hint="default"/>
        <w:color w:val="006B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71E32"/>
    <w:multiLevelType w:val="hybridMultilevel"/>
    <w:tmpl w:val="56F686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C42659D"/>
    <w:multiLevelType w:val="hybridMultilevel"/>
    <w:tmpl w:val="E422A66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1" w15:restartNumberingAfterBreak="0">
    <w:nsid w:val="3C8B5100"/>
    <w:multiLevelType w:val="hybridMultilevel"/>
    <w:tmpl w:val="6B10ACDA"/>
    <w:lvl w:ilvl="0" w:tplc="0054EA4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F6E32C1"/>
    <w:multiLevelType w:val="hybridMultilevel"/>
    <w:tmpl w:val="B3C6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B244D"/>
    <w:multiLevelType w:val="hybridMultilevel"/>
    <w:tmpl w:val="C2ACC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E251E31"/>
    <w:multiLevelType w:val="hybridMultilevel"/>
    <w:tmpl w:val="E1BCAEE8"/>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5" w15:restartNumberingAfterBreak="0">
    <w:nsid w:val="52E42969"/>
    <w:multiLevelType w:val="hybridMultilevel"/>
    <w:tmpl w:val="DBC0D9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40A4595"/>
    <w:multiLevelType w:val="hybridMultilevel"/>
    <w:tmpl w:val="303E1C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6E26269"/>
    <w:multiLevelType w:val="hybridMultilevel"/>
    <w:tmpl w:val="6B10ACDA"/>
    <w:lvl w:ilvl="0" w:tplc="0054EA4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7E23178"/>
    <w:multiLevelType w:val="hybridMultilevel"/>
    <w:tmpl w:val="2DD6C8A8"/>
    <w:lvl w:ilvl="0" w:tplc="9036EF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1082D"/>
    <w:multiLevelType w:val="hybridMultilevel"/>
    <w:tmpl w:val="9990BC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B523073"/>
    <w:multiLevelType w:val="multilevel"/>
    <w:tmpl w:val="00120FD2"/>
    <w:lvl w:ilvl="0">
      <w:start w:val="1"/>
      <w:numFmt w:val="decimal"/>
      <w:pStyle w:val="AppendixHeadingLevel1"/>
      <w:lvlText w:val="A%1"/>
      <w:lvlJc w:val="left"/>
      <w:pPr>
        <w:tabs>
          <w:tab w:val="num" w:pos="851"/>
        </w:tabs>
        <w:ind w:left="851" w:hanging="851"/>
      </w:pPr>
      <w:rPr>
        <w:rFonts w:hint="default"/>
      </w:rPr>
    </w:lvl>
    <w:lvl w:ilvl="1">
      <w:start w:val="1"/>
      <w:numFmt w:val="decimal"/>
      <w:pStyle w:val="AppendixHeadingLevel2"/>
      <w:lvlText w:val="A%1.%2"/>
      <w:lvlJc w:val="left"/>
      <w:pPr>
        <w:tabs>
          <w:tab w:val="num" w:pos="851"/>
        </w:tabs>
        <w:ind w:left="851" w:hanging="851"/>
      </w:pPr>
      <w:rPr>
        <w:rFonts w:hint="default"/>
      </w:rPr>
    </w:lvl>
    <w:lvl w:ilvl="2">
      <w:start w:val="1"/>
      <w:numFmt w:val="decimal"/>
      <w:pStyle w:val="AppendixHeadingLevel3"/>
      <w:lvlText w:val="A%1.%2.%3"/>
      <w:lvlJc w:val="left"/>
      <w:pPr>
        <w:tabs>
          <w:tab w:val="num" w:pos="851"/>
        </w:tabs>
        <w:ind w:left="851" w:hanging="851"/>
      </w:pPr>
      <w:rPr>
        <w:rFonts w:hint="default"/>
      </w:rPr>
    </w:lvl>
    <w:lvl w:ilvl="3">
      <w:start w:val="1"/>
      <w:numFmt w:val="decimal"/>
      <w:pStyle w:val="AppendixHeadingLevel4"/>
      <w:lvlText w:val="A%1.%2.%3.%4"/>
      <w:lvlJc w:val="left"/>
      <w:pPr>
        <w:ind w:left="851" w:hanging="851"/>
      </w:pPr>
      <w:rPr>
        <w:rFonts w:hint="default"/>
      </w:rPr>
    </w:lvl>
    <w:lvl w:ilvl="4">
      <w:start w:val="1"/>
      <w:numFmt w:val="decimal"/>
      <w:pStyle w:val="AppendixHeadingLevel5"/>
      <w:lvlText w:val="A%1.%2.%3.%4.%5"/>
      <w:lvlJc w:val="left"/>
      <w:pPr>
        <w:ind w:left="992"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
  </w:num>
  <w:num w:numId="3">
    <w:abstractNumId w:val="8"/>
  </w:num>
  <w:num w:numId="4">
    <w:abstractNumId w:val="12"/>
  </w:num>
  <w:num w:numId="5">
    <w:abstractNumId w:val="3"/>
  </w:num>
  <w:num w:numId="6">
    <w:abstractNumId w:val="10"/>
  </w:num>
  <w:num w:numId="7">
    <w:abstractNumId w:val="20"/>
  </w:num>
  <w:num w:numId="8">
    <w:abstractNumId w:val="1"/>
  </w:num>
  <w:num w:numId="9">
    <w:abstractNumId w:val="13"/>
  </w:num>
  <w:num w:numId="10">
    <w:abstractNumId w:val="15"/>
  </w:num>
  <w:num w:numId="11">
    <w:abstractNumId w:val="5"/>
  </w:num>
  <w:num w:numId="12">
    <w:abstractNumId w:val="19"/>
  </w:num>
  <w:num w:numId="13">
    <w:abstractNumId w:val="14"/>
  </w:num>
  <w:num w:numId="14">
    <w:abstractNumId w:val="2"/>
  </w:num>
  <w:num w:numId="15">
    <w:abstractNumId w:val="9"/>
  </w:num>
  <w:num w:numId="16">
    <w:abstractNumId w:val="16"/>
  </w:num>
  <w:num w:numId="17">
    <w:abstractNumId w:val="6"/>
  </w:num>
  <w:num w:numId="18">
    <w:abstractNumId w:val="17"/>
  </w:num>
  <w:num w:numId="19">
    <w:abstractNumId w:val="18"/>
  </w:num>
  <w:num w:numId="20">
    <w:abstractNumId w:val="4"/>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53"/>
    <w:rsid w:val="00000EAF"/>
    <w:rsid w:val="0000486C"/>
    <w:rsid w:val="00007882"/>
    <w:rsid w:val="00007F06"/>
    <w:rsid w:val="00023C11"/>
    <w:rsid w:val="000243E9"/>
    <w:rsid w:val="0002473E"/>
    <w:rsid w:val="000273CD"/>
    <w:rsid w:val="00031227"/>
    <w:rsid w:val="00031DB1"/>
    <w:rsid w:val="000356DB"/>
    <w:rsid w:val="00040C1F"/>
    <w:rsid w:val="0004292F"/>
    <w:rsid w:val="00043172"/>
    <w:rsid w:val="00046054"/>
    <w:rsid w:val="0005129B"/>
    <w:rsid w:val="00056248"/>
    <w:rsid w:val="000624A5"/>
    <w:rsid w:val="00063189"/>
    <w:rsid w:val="00064FBC"/>
    <w:rsid w:val="0007073C"/>
    <w:rsid w:val="00073387"/>
    <w:rsid w:val="0007396F"/>
    <w:rsid w:val="00076D64"/>
    <w:rsid w:val="0008069F"/>
    <w:rsid w:val="00096674"/>
    <w:rsid w:val="000A0D3F"/>
    <w:rsid w:val="000A6EEB"/>
    <w:rsid w:val="000B1929"/>
    <w:rsid w:val="000B6E96"/>
    <w:rsid w:val="000C2168"/>
    <w:rsid w:val="000C60AA"/>
    <w:rsid w:val="000D0BA0"/>
    <w:rsid w:val="000D0F3E"/>
    <w:rsid w:val="000D1223"/>
    <w:rsid w:val="000D1FB3"/>
    <w:rsid w:val="000D437B"/>
    <w:rsid w:val="000E05DC"/>
    <w:rsid w:val="000E2722"/>
    <w:rsid w:val="000E540C"/>
    <w:rsid w:val="000E6389"/>
    <w:rsid w:val="000F5177"/>
    <w:rsid w:val="000F57B3"/>
    <w:rsid w:val="000F6B79"/>
    <w:rsid w:val="00106B4D"/>
    <w:rsid w:val="0011365D"/>
    <w:rsid w:val="00116B15"/>
    <w:rsid w:val="00116C9C"/>
    <w:rsid w:val="00120DF8"/>
    <w:rsid w:val="00121861"/>
    <w:rsid w:val="001236D2"/>
    <w:rsid w:val="001259F4"/>
    <w:rsid w:val="001277D3"/>
    <w:rsid w:val="0013364B"/>
    <w:rsid w:val="00133DCC"/>
    <w:rsid w:val="001351D4"/>
    <w:rsid w:val="0013613D"/>
    <w:rsid w:val="00136FB5"/>
    <w:rsid w:val="00137B07"/>
    <w:rsid w:val="00143583"/>
    <w:rsid w:val="001442D0"/>
    <w:rsid w:val="001565D2"/>
    <w:rsid w:val="00160BF0"/>
    <w:rsid w:val="0016451D"/>
    <w:rsid w:val="00165420"/>
    <w:rsid w:val="00166285"/>
    <w:rsid w:val="00172920"/>
    <w:rsid w:val="001769BE"/>
    <w:rsid w:val="00181042"/>
    <w:rsid w:val="00182178"/>
    <w:rsid w:val="001833C7"/>
    <w:rsid w:val="00183AD7"/>
    <w:rsid w:val="00190672"/>
    <w:rsid w:val="00193E90"/>
    <w:rsid w:val="001A2DF0"/>
    <w:rsid w:val="001A3D89"/>
    <w:rsid w:val="001A5DD4"/>
    <w:rsid w:val="001B06E1"/>
    <w:rsid w:val="001B34C5"/>
    <w:rsid w:val="001B5135"/>
    <w:rsid w:val="001B7970"/>
    <w:rsid w:val="001C23C6"/>
    <w:rsid w:val="001D036D"/>
    <w:rsid w:val="001D1044"/>
    <w:rsid w:val="001E2904"/>
    <w:rsid w:val="001F2C48"/>
    <w:rsid w:val="00204BFF"/>
    <w:rsid w:val="0021244C"/>
    <w:rsid w:val="00212677"/>
    <w:rsid w:val="00220DCA"/>
    <w:rsid w:val="00223443"/>
    <w:rsid w:val="00226A44"/>
    <w:rsid w:val="0023243B"/>
    <w:rsid w:val="00232D3E"/>
    <w:rsid w:val="002350D3"/>
    <w:rsid w:val="00237FD6"/>
    <w:rsid w:val="0025290D"/>
    <w:rsid w:val="00257667"/>
    <w:rsid w:val="0026134B"/>
    <w:rsid w:val="00262D0B"/>
    <w:rsid w:val="002631DA"/>
    <w:rsid w:val="00264733"/>
    <w:rsid w:val="00271A78"/>
    <w:rsid w:val="002724DD"/>
    <w:rsid w:val="00272BE1"/>
    <w:rsid w:val="00273F9A"/>
    <w:rsid w:val="00275245"/>
    <w:rsid w:val="002870FB"/>
    <w:rsid w:val="00287A7B"/>
    <w:rsid w:val="002A0D53"/>
    <w:rsid w:val="002A585D"/>
    <w:rsid w:val="002A6FD4"/>
    <w:rsid w:val="002B72EA"/>
    <w:rsid w:val="002C2C9B"/>
    <w:rsid w:val="002C3462"/>
    <w:rsid w:val="002C3719"/>
    <w:rsid w:val="002C4261"/>
    <w:rsid w:val="002C74C2"/>
    <w:rsid w:val="002D095C"/>
    <w:rsid w:val="002D0D58"/>
    <w:rsid w:val="002D1502"/>
    <w:rsid w:val="002D2AAE"/>
    <w:rsid w:val="002D7917"/>
    <w:rsid w:val="002D7E43"/>
    <w:rsid w:val="002E2D53"/>
    <w:rsid w:val="002F05D9"/>
    <w:rsid w:val="002F627A"/>
    <w:rsid w:val="003119F6"/>
    <w:rsid w:val="00320EFD"/>
    <w:rsid w:val="003267D6"/>
    <w:rsid w:val="00327142"/>
    <w:rsid w:val="00327BAE"/>
    <w:rsid w:val="00330B02"/>
    <w:rsid w:val="00332719"/>
    <w:rsid w:val="003329E4"/>
    <w:rsid w:val="00341B70"/>
    <w:rsid w:val="003449AF"/>
    <w:rsid w:val="00344FD5"/>
    <w:rsid w:val="00350028"/>
    <w:rsid w:val="00351B7D"/>
    <w:rsid w:val="00360E8E"/>
    <w:rsid w:val="00371767"/>
    <w:rsid w:val="0037278C"/>
    <w:rsid w:val="0037292A"/>
    <w:rsid w:val="0038781A"/>
    <w:rsid w:val="0039039F"/>
    <w:rsid w:val="00395446"/>
    <w:rsid w:val="00396431"/>
    <w:rsid w:val="003A1907"/>
    <w:rsid w:val="003A344A"/>
    <w:rsid w:val="003A5AD8"/>
    <w:rsid w:val="003A6E49"/>
    <w:rsid w:val="003B57BB"/>
    <w:rsid w:val="003B58F6"/>
    <w:rsid w:val="003B775F"/>
    <w:rsid w:val="003B7F22"/>
    <w:rsid w:val="003C043C"/>
    <w:rsid w:val="003D206F"/>
    <w:rsid w:val="003D6151"/>
    <w:rsid w:val="003D7BD8"/>
    <w:rsid w:val="003E197D"/>
    <w:rsid w:val="003E2C72"/>
    <w:rsid w:val="00400C14"/>
    <w:rsid w:val="00403C49"/>
    <w:rsid w:val="004046F6"/>
    <w:rsid w:val="00412CFB"/>
    <w:rsid w:val="004133F7"/>
    <w:rsid w:val="00413EE9"/>
    <w:rsid w:val="00430B16"/>
    <w:rsid w:val="004341D7"/>
    <w:rsid w:val="004435BA"/>
    <w:rsid w:val="00443B8B"/>
    <w:rsid w:val="00446037"/>
    <w:rsid w:val="00453439"/>
    <w:rsid w:val="004576C7"/>
    <w:rsid w:val="00471BCE"/>
    <w:rsid w:val="00472EAD"/>
    <w:rsid w:val="004803F6"/>
    <w:rsid w:val="004812EA"/>
    <w:rsid w:val="00485B9A"/>
    <w:rsid w:val="00486E50"/>
    <w:rsid w:val="0049240A"/>
    <w:rsid w:val="00494F31"/>
    <w:rsid w:val="00497CEB"/>
    <w:rsid w:val="004A158F"/>
    <w:rsid w:val="004A4F90"/>
    <w:rsid w:val="004A7663"/>
    <w:rsid w:val="004B3660"/>
    <w:rsid w:val="004B56E1"/>
    <w:rsid w:val="004B76AF"/>
    <w:rsid w:val="004C3955"/>
    <w:rsid w:val="004C5E5A"/>
    <w:rsid w:val="004E75F5"/>
    <w:rsid w:val="004F1798"/>
    <w:rsid w:val="004F3C55"/>
    <w:rsid w:val="004F5923"/>
    <w:rsid w:val="004F7773"/>
    <w:rsid w:val="004F79EF"/>
    <w:rsid w:val="00503559"/>
    <w:rsid w:val="005058AC"/>
    <w:rsid w:val="00507B8C"/>
    <w:rsid w:val="005129F6"/>
    <w:rsid w:val="00514B6E"/>
    <w:rsid w:val="00515B74"/>
    <w:rsid w:val="00520661"/>
    <w:rsid w:val="005215CA"/>
    <w:rsid w:val="005224E1"/>
    <w:rsid w:val="00522F11"/>
    <w:rsid w:val="00524800"/>
    <w:rsid w:val="00533916"/>
    <w:rsid w:val="00540DAF"/>
    <w:rsid w:val="00544492"/>
    <w:rsid w:val="005547FA"/>
    <w:rsid w:val="005560B9"/>
    <w:rsid w:val="00560A43"/>
    <w:rsid w:val="005619CE"/>
    <w:rsid w:val="00563B19"/>
    <w:rsid w:val="0056538F"/>
    <w:rsid w:val="00565DDD"/>
    <w:rsid w:val="00566A1B"/>
    <w:rsid w:val="005673FF"/>
    <w:rsid w:val="00572161"/>
    <w:rsid w:val="005731EC"/>
    <w:rsid w:val="00573281"/>
    <w:rsid w:val="005743EB"/>
    <w:rsid w:val="00575D6F"/>
    <w:rsid w:val="0058017E"/>
    <w:rsid w:val="005802B4"/>
    <w:rsid w:val="005812AB"/>
    <w:rsid w:val="005840D9"/>
    <w:rsid w:val="00584AA9"/>
    <w:rsid w:val="00587CB7"/>
    <w:rsid w:val="00590B37"/>
    <w:rsid w:val="0059193F"/>
    <w:rsid w:val="0059506F"/>
    <w:rsid w:val="005B0856"/>
    <w:rsid w:val="005B550F"/>
    <w:rsid w:val="005C1F2E"/>
    <w:rsid w:val="005C679C"/>
    <w:rsid w:val="005C6BBB"/>
    <w:rsid w:val="005D196E"/>
    <w:rsid w:val="005E69EC"/>
    <w:rsid w:val="005F12EF"/>
    <w:rsid w:val="005F58D3"/>
    <w:rsid w:val="005F5EC1"/>
    <w:rsid w:val="005F771A"/>
    <w:rsid w:val="00607284"/>
    <w:rsid w:val="00610AF3"/>
    <w:rsid w:val="00612D19"/>
    <w:rsid w:val="00615F39"/>
    <w:rsid w:val="006209DD"/>
    <w:rsid w:val="0062411E"/>
    <w:rsid w:val="00625029"/>
    <w:rsid w:val="00633632"/>
    <w:rsid w:val="00634A1F"/>
    <w:rsid w:val="00635449"/>
    <w:rsid w:val="00637592"/>
    <w:rsid w:val="00643A95"/>
    <w:rsid w:val="00643BE1"/>
    <w:rsid w:val="00644D4D"/>
    <w:rsid w:val="006468BE"/>
    <w:rsid w:val="00650A0E"/>
    <w:rsid w:val="00651CFD"/>
    <w:rsid w:val="00652360"/>
    <w:rsid w:val="00666CB3"/>
    <w:rsid w:val="00673DF2"/>
    <w:rsid w:val="006835B2"/>
    <w:rsid w:val="006917A3"/>
    <w:rsid w:val="006A2634"/>
    <w:rsid w:val="006B58B4"/>
    <w:rsid w:val="006B771E"/>
    <w:rsid w:val="006C114C"/>
    <w:rsid w:val="006C3410"/>
    <w:rsid w:val="006D23EF"/>
    <w:rsid w:val="006E0D89"/>
    <w:rsid w:val="006F517B"/>
    <w:rsid w:val="006F5468"/>
    <w:rsid w:val="006F66A8"/>
    <w:rsid w:val="006F75B4"/>
    <w:rsid w:val="006F775C"/>
    <w:rsid w:val="006F7B0C"/>
    <w:rsid w:val="0070583C"/>
    <w:rsid w:val="0071259A"/>
    <w:rsid w:val="007136F6"/>
    <w:rsid w:val="00714306"/>
    <w:rsid w:val="00714CEB"/>
    <w:rsid w:val="00716FFB"/>
    <w:rsid w:val="007172A3"/>
    <w:rsid w:val="007348F7"/>
    <w:rsid w:val="00736CC8"/>
    <w:rsid w:val="00746988"/>
    <w:rsid w:val="0075338B"/>
    <w:rsid w:val="007538D0"/>
    <w:rsid w:val="00754BE8"/>
    <w:rsid w:val="007614DB"/>
    <w:rsid w:val="00761726"/>
    <w:rsid w:val="007641B5"/>
    <w:rsid w:val="00774B5A"/>
    <w:rsid w:val="007764B6"/>
    <w:rsid w:val="00781757"/>
    <w:rsid w:val="007854C3"/>
    <w:rsid w:val="0079291F"/>
    <w:rsid w:val="00793BDA"/>
    <w:rsid w:val="00794E6A"/>
    <w:rsid w:val="007974C0"/>
    <w:rsid w:val="007A391F"/>
    <w:rsid w:val="007A3FD1"/>
    <w:rsid w:val="007B46C2"/>
    <w:rsid w:val="007B553B"/>
    <w:rsid w:val="007C21CC"/>
    <w:rsid w:val="007C4E6C"/>
    <w:rsid w:val="007C55CD"/>
    <w:rsid w:val="007C69DC"/>
    <w:rsid w:val="007C79E2"/>
    <w:rsid w:val="007C7E4D"/>
    <w:rsid w:val="007D1C3A"/>
    <w:rsid w:val="007D202C"/>
    <w:rsid w:val="007E3C9E"/>
    <w:rsid w:val="007F05D9"/>
    <w:rsid w:val="007F309C"/>
    <w:rsid w:val="007F3E1C"/>
    <w:rsid w:val="007F67FC"/>
    <w:rsid w:val="007F73D2"/>
    <w:rsid w:val="0080370E"/>
    <w:rsid w:val="00803CF1"/>
    <w:rsid w:val="00806C1C"/>
    <w:rsid w:val="008072C4"/>
    <w:rsid w:val="00807D16"/>
    <w:rsid w:val="00811502"/>
    <w:rsid w:val="00811ECD"/>
    <w:rsid w:val="00812D48"/>
    <w:rsid w:val="0081728C"/>
    <w:rsid w:val="00820025"/>
    <w:rsid w:val="00835B0E"/>
    <w:rsid w:val="00850100"/>
    <w:rsid w:val="00852EE8"/>
    <w:rsid w:val="00854F48"/>
    <w:rsid w:val="0085719E"/>
    <w:rsid w:val="00862BB0"/>
    <w:rsid w:val="00865146"/>
    <w:rsid w:val="00872006"/>
    <w:rsid w:val="0088125E"/>
    <w:rsid w:val="008856B6"/>
    <w:rsid w:val="0089400C"/>
    <w:rsid w:val="008A1978"/>
    <w:rsid w:val="008A2CAB"/>
    <w:rsid w:val="008A3F3E"/>
    <w:rsid w:val="008A46EC"/>
    <w:rsid w:val="008A5D8E"/>
    <w:rsid w:val="008B49E2"/>
    <w:rsid w:val="008B4D00"/>
    <w:rsid w:val="008B6EB0"/>
    <w:rsid w:val="008C3FAC"/>
    <w:rsid w:val="008C4BBC"/>
    <w:rsid w:val="008C59EE"/>
    <w:rsid w:val="008C748D"/>
    <w:rsid w:val="008C7564"/>
    <w:rsid w:val="008D1CDD"/>
    <w:rsid w:val="008D232D"/>
    <w:rsid w:val="008D2537"/>
    <w:rsid w:val="008D41C5"/>
    <w:rsid w:val="008E4E0A"/>
    <w:rsid w:val="008F38AD"/>
    <w:rsid w:val="008F3963"/>
    <w:rsid w:val="008F5287"/>
    <w:rsid w:val="009010EE"/>
    <w:rsid w:val="009135D2"/>
    <w:rsid w:val="00921F2E"/>
    <w:rsid w:val="00922768"/>
    <w:rsid w:val="009234D2"/>
    <w:rsid w:val="009260AD"/>
    <w:rsid w:val="0095003E"/>
    <w:rsid w:val="009540FD"/>
    <w:rsid w:val="00954F3C"/>
    <w:rsid w:val="00955D50"/>
    <w:rsid w:val="009565B7"/>
    <w:rsid w:val="009662B9"/>
    <w:rsid w:val="009670BD"/>
    <w:rsid w:val="0097736A"/>
    <w:rsid w:val="00981DBA"/>
    <w:rsid w:val="009937A4"/>
    <w:rsid w:val="00995E56"/>
    <w:rsid w:val="009A17A8"/>
    <w:rsid w:val="009A5AF3"/>
    <w:rsid w:val="009A7039"/>
    <w:rsid w:val="009B16F5"/>
    <w:rsid w:val="009B1802"/>
    <w:rsid w:val="009C7E65"/>
    <w:rsid w:val="009D0B93"/>
    <w:rsid w:val="009D1F31"/>
    <w:rsid w:val="009D440B"/>
    <w:rsid w:val="009D51CE"/>
    <w:rsid w:val="009D6940"/>
    <w:rsid w:val="009D6CD6"/>
    <w:rsid w:val="009E128F"/>
    <w:rsid w:val="009E1C65"/>
    <w:rsid w:val="009E49B3"/>
    <w:rsid w:val="009E6C44"/>
    <w:rsid w:val="009F1EFF"/>
    <w:rsid w:val="009F32B3"/>
    <w:rsid w:val="009F4A31"/>
    <w:rsid w:val="009F5773"/>
    <w:rsid w:val="009F64A8"/>
    <w:rsid w:val="00A01C09"/>
    <w:rsid w:val="00A07BFD"/>
    <w:rsid w:val="00A07C8D"/>
    <w:rsid w:val="00A114B6"/>
    <w:rsid w:val="00A20CEA"/>
    <w:rsid w:val="00A211EC"/>
    <w:rsid w:val="00A24867"/>
    <w:rsid w:val="00A32721"/>
    <w:rsid w:val="00A328D8"/>
    <w:rsid w:val="00A349DB"/>
    <w:rsid w:val="00A37506"/>
    <w:rsid w:val="00A50772"/>
    <w:rsid w:val="00A508A2"/>
    <w:rsid w:val="00A53D59"/>
    <w:rsid w:val="00A56E1D"/>
    <w:rsid w:val="00A618EE"/>
    <w:rsid w:val="00A64787"/>
    <w:rsid w:val="00A65C4C"/>
    <w:rsid w:val="00A65F8A"/>
    <w:rsid w:val="00A72A5E"/>
    <w:rsid w:val="00A7383F"/>
    <w:rsid w:val="00A8110E"/>
    <w:rsid w:val="00A82EA5"/>
    <w:rsid w:val="00A858EE"/>
    <w:rsid w:val="00A85C07"/>
    <w:rsid w:val="00A870BF"/>
    <w:rsid w:val="00A942B7"/>
    <w:rsid w:val="00A96C33"/>
    <w:rsid w:val="00AA1E37"/>
    <w:rsid w:val="00AA2307"/>
    <w:rsid w:val="00AA2E60"/>
    <w:rsid w:val="00AA3CC8"/>
    <w:rsid w:val="00AA3EF3"/>
    <w:rsid w:val="00AB1720"/>
    <w:rsid w:val="00AB4D09"/>
    <w:rsid w:val="00AC0DE0"/>
    <w:rsid w:val="00AC4E03"/>
    <w:rsid w:val="00AD0FCC"/>
    <w:rsid w:val="00AD3A57"/>
    <w:rsid w:val="00AD3D6F"/>
    <w:rsid w:val="00AD7A59"/>
    <w:rsid w:val="00AE1920"/>
    <w:rsid w:val="00AE3166"/>
    <w:rsid w:val="00AE785B"/>
    <w:rsid w:val="00AF0F75"/>
    <w:rsid w:val="00AF207E"/>
    <w:rsid w:val="00AF3400"/>
    <w:rsid w:val="00AF728E"/>
    <w:rsid w:val="00B04693"/>
    <w:rsid w:val="00B0773C"/>
    <w:rsid w:val="00B07F4C"/>
    <w:rsid w:val="00B1132E"/>
    <w:rsid w:val="00B15965"/>
    <w:rsid w:val="00B174D2"/>
    <w:rsid w:val="00B20DA4"/>
    <w:rsid w:val="00B21907"/>
    <w:rsid w:val="00B231CD"/>
    <w:rsid w:val="00B2361F"/>
    <w:rsid w:val="00B23C43"/>
    <w:rsid w:val="00B25784"/>
    <w:rsid w:val="00B2662E"/>
    <w:rsid w:val="00B31B63"/>
    <w:rsid w:val="00B33024"/>
    <w:rsid w:val="00B36472"/>
    <w:rsid w:val="00B373B5"/>
    <w:rsid w:val="00B41D16"/>
    <w:rsid w:val="00B442A5"/>
    <w:rsid w:val="00B474DC"/>
    <w:rsid w:val="00B51F66"/>
    <w:rsid w:val="00B52B53"/>
    <w:rsid w:val="00B53887"/>
    <w:rsid w:val="00B5673B"/>
    <w:rsid w:val="00B61752"/>
    <w:rsid w:val="00B64D89"/>
    <w:rsid w:val="00B675FD"/>
    <w:rsid w:val="00B67685"/>
    <w:rsid w:val="00B73960"/>
    <w:rsid w:val="00B81499"/>
    <w:rsid w:val="00B81584"/>
    <w:rsid w:val="00B8168F"/>
    <w:rsid w:val="00B842F8"/>
    <w:rsid w:val="00B868AD"/>
    <w:rsid w:val="00B900F7"/>
    <w:rsid w:val="00B90982"/>
    <w:rsid w:val="00B91295"/>
    <w:rsid w:val="00B937B0"/>
    <w:rsid w:val="00B95476"/>
    <w:rsid w:val="00BA3285"/>
    <w:rsid w:val="00BA3790"/>
    <w:rsid w:val="00BB0BCC"/>
    <w:rsid w:val="00BB14D9"/>
    <w:rsid w:val="00BB3B0B"/>
    <w:rsid w:val="00BB7115"/>
    <w:rsid w:val="00BC2787"/>
    <w:rsid w:val="00BC45AE"/>
    <w:rsid w:val="00BC512D"/>
    <w:rsid w:val="00BC5515"/>
    <w:rsid w:val="00BC5785"/>
    <w:rsid w:val="00BC769B"/>
    <w:rsid w:val="00BD34F7"/>
    <w:rsid w:val="00BD44BE"/>
    <w:rsid w:val="00BD5878"/>
    <w:rsid w:val="00BE2E95"/>
    <w:rsid w:val="00BF2712"/>
    <w:rsid w:val="00BF2C6D"/>
    <w:rsid w:val="00BF761A"/>
    <w:rsid w:val="00C01E01"/>
    <w:rsid w:val="00C042C9"/>
    <w:rsid w:val="00C044BB"/>
    <w:rsid w:val="00C076B6"/>
    <w:rsid w:val="00C07861"/>
    <w:rsid w:val="00C166E6"/>
    <w:rsid w:val="00C21481"/>
    <w:rsid w:val="00C21F3D"/>
    <w:rsid w:val="00C27593"/>
    <w:rsid w:val="00C30A51"/>
    <w:rsid w:val="00C31C4B"/>
    <w:rsid w:val="00C31EB3"/>
    <w:rsid w:val="00C347AC"/>
    <w:rsid w:val="00C34BDD"/>
    <w:rsid w:val="00C36DAB"/>
    <w:rsid w:val="00C438D1"/>
    <w:rsid w:val="00C44A91"/>
    <w:rsid w:val="00C461DE"/>
    <w:rsid w:val="00C52E90"/>
    <w:rsid w:val="00C5416C"/>
    <w:rsid w:val="00C568D4"/>
    <w:rsid w:val="00C60CA7"/>
    <w:rsid w:val="00C62A40"/>
    <w:rsid w:val="00C62B16"/>
    <w:rsid w:val="00C674DB"/>
    <w:rsid w:val="00C67AD6"/>
    <w:rsid w:val="00C72CA3"/>
    <w:rsid w:val="00C73862"/>
    <w:rsid w:val="00C81EA6"/>
    <w:rsid w:val="00C82193"/>
    <w:rsid w:val="00C84361"/>
    <w:rsid w:val="00C8483C"/>
    <w:rsid w:val="00C95E4E"/>
    <w:rsid w:val="00CA0DEA"/>
    <w:rsid w:val="00CA29D0"/>
    <w:rsid w:val="00CA4906"/>
    <w:rsid w:val="00CA4F6C"/>
    <w:rsid w:val="00CB1416"/>
    <w:rsid w:val="00CB3F3E"/>
    <w:rsid w:val="00CC083E"/>
    <w:rsid w:val="00CC2C45"/>
    <w:rsid w:val="00CC3402"/>
    <w:rsid w:val="00CD41DF"/>
    <w:rsid w:val="00CE130E"/>
    <w:rsid w:val="00CE1B48"/>
    <w:rsid w:val="00CE36BB"/>
    <w:rsid w:val="00CE68B5"/>
    <w:rsid w:val="00CF562A"/>
    <w:rsid w:val="00D000C6"/>
    <w:rsid w:val="00D0081F"/>
    <w:rsid w:val="00D07072"/>
    <w:rsid w:val="00D1740A"/>
    <w:rsid w:val="00D216B0"/>
    <w:rsid w:val="00D240AC"/>
    <w:rsid w:val="00D26082"/>
    <w:rsid w:val="00D32C89"/>
    <w:rsid w:val="00D34A24"/>
    <w:rsid w:val="00D35C7D"/>
    <w:rsid w:val="00D35D32"/>
    <w:rsid w:val="00D35D9C"/>
    <w:rsid w:val="00D35F10"/>
    <w:rsid w:val="00D36AE3"/>
    <w:rsid w:val="00D42350"/>
    <w:rsid w:val="00D42AF1"/>
    <w:rsid w:val="00D44020"/>
    <w:rsid w:val="00D4723E"/>
    <w:rsid w:val="00D47DA1"/>
    <w:rsid w:val="00D51F15"/>
    <w:rsid w:val="00D529B6"/>
    <w:rsid w:val="00D55AE3"/>
    <w:rsid w:val="00D61098"/>
    <w:rsid w:val="00D67EC4"/>
    <w:rsid w:val="00D7097B"/>
    <w:rsid w:val="00D714CA"/>
    <w:rsid w:val="00D7196D"/>
    <w:rsid w:val="00D76DAA"/>
    <w:rsid w:val="00D80BD4"/>
    <w:rsid w:val="00D84D92"/>
    <w:rsid w:val="00D9157E"/>
    <w:rsid w:val="00D9358B"/>
    <w:rsid w:val="00D9393B"/>
    <w:rsid w:val="00D93EEC"/>
    <w:rsid w:val="00DA1F94"/>
    <w:rsid w:val="00DA5B08"/>
    <w:rsid w:val="00DB1B4C"/>
    <w:rsid w:val="00DC0612"/>
    <w:rsid w:val="00DC4551"/>
    <w:rsid w:val="00DD413D"/>
    <w:rsid w:val="00DD472E"/>
    <w:rsid w:val="00DE4472"/>
    <w:rsid w:val="00DF2290"/>
    <w:rsid w:val="00DF3AEF"/>
    <w:rsid w:val="00DF5CA7"/>
    <w:rsid w:val="00DF5D1C"/>
    <w:rsid w:val="00E02074"/>
    <w:rsid w:val="00E025D4"/>
    <w:rsid w:val="00E1087E"/>
    <w:rsid w:val="00E10E9F"/>
    <w:rsid w:val="00E17D9A"/>
    <w:rsid w:val="00E2254B"/>
    <w:rsid w:val="00E271D9"/>
    <w:rsid w:val="00E31F5E"/>
    <w:rsid w:val="00E3209C"/>
    <w:rsid w:val="00E4469C"/>
    <w:rsid w:val="00E4788F"/>
    <w:rsid w:val="00E50A1B"/>
    <w:rsid w:val="00E56166"/>
    <w:rsid w:val="00E56405"/>
    <w:rsid w:val="00E57222"/>
    <w:rsid w:val="00E578BE"/>
    <w:rsid w:val="00E60CBC"/>
    <w:rsid w:val="00E62CE6"/>
    <w:rsid w:val="00E72DBE"/>
    <w:rsid w:val="00E745DA"/>
    <w:rsid w:val="00E74FB8"/>
    <w:rsid w:val="00E76281"/>
    <w:rsid w:val="00E775A0"/>
    <w:rsid w:val="00E84FCC"/>
    <w:rsid w:val="00E87D25"/>
    <w:rsid w:val="00E905BB"/>
    <w:rsid w:val="00E91417"/>
    <w:rsid w:val="00E93344"/>
    <w:rsid w:val="00E9495E"/>
    <w:rsid w:val="00E9702B"/>
    <w:rsid w:val="00EA07EC"/>
    <w:rsid w:val="00EA0801"/>
    <w:rsid w:val="00EA0CF8"/>
    <w:rsid w:val="00EA0E62"/>
    <w:rsid w:val="00EA18C9"/>
    <w:rsid w:val="00EA51EB"/>
    <w:rsid w:val="00EA617E"/>
    <w:rsid w:val="00EB0007"/>
    <w:rsid w:val="00EB5856"/>
    <w:rsid w:val="00EB6486"/>
    <w:rsid w:val="00EC1007"/>
    <w:rsid w:val="00EC3920"/>
    <w:rsid w:val="00EC72AF"/>
    <w:rsid w:val="00ED0683"/>
    <w:rsid w:val="00ED2853"/>
    <w:rsid w:val="00ED5165"/>
    <w:rsid w:val="00ED54FB"/>
    <w:rsid w:val="00ED5959"/>
    <w:rsid w:val="00ED5E84"/>
    <w:rsid w:val="00ED5F85"/>
    <w:rsid w:val="00ED6F02"/>
    <w:rsid w:val="00EE08B1"/>
    <w:rsid w:val="00EE1D27"/>
    <w:rsid w:val="00EE30D0"/>
    <w:rsid w:val="00EE3B45"/>
    <w:rsid w:val="00EE5B0F"/>
    <w:rsid w:val="00EE5E8F"/>
    <w:rsid w:val="00EE798F"/>
    <w:rsid w:val="00EF0762"/>
    <w:rsid w:val="00EF0BDC"/>
    <w:rsid w:val="00EF331D"/>
    <w:rsid w:val="00EF348E"/>
    <w:rsid w:val="00EF44E7"/>
    <w:rsid w:val="00EF5085"/>
    <w:rsid w:val="00EF56A1"/>
    <w:rsid w:val="00F024D7"/>
    <w:rsid w:val="00F02799"/>
    <w:rsid w:val="00F03409"/>
    <w:rsid w:val="00F121B2"/>
    <w:rsid w:val="00F12B87"/>
    <w:rsid w:val="00F142F8"/>
    <w:rsid w:val="00F154D1"/>
    <w:rsid w:val="00F1718B"/>
    <w:rsid w:val="00F20621"/>
    <w:rsid w:val="00F30DC1"/>
    <w:rsid w:val="00F32697"/>
    <w:rsid w:val="00F4034D"/>
    <w:rsid w:val="00F40F23"/>
    <w:rsid w:val="00F45F32"/>
    <w:rsid w:val="00F47D52"/>
    <w:rsid w:val="00F5022F"/>
    <w:rsid w:val="00F55530"/>
    <w:rsid w:val="00F55F2D"/>
    <w:rsid w:val="00F57FFC"/>
    <w:rsid w:val="00F60B3D"/>
    <w:rsid w:val="00F60DCC"/>
    <w:rsid w:val="00F62906"/>
    <w:rsid w:val="00F672F3"/>
    <w:rsid w:val="00F6779A"/>
    <w:rsid w:val="00F71D31"/>
    <w:rsid w:val="00F7217F"/>
    <w:rsid w:val="00F732C1"/>
    <w:rsid w:val="00F75808"/>
    <w:rsid w:val="00F76958"/>
    <w:rsid w:val="00F8103E"/>
    <w:rsid w:val="00F87B07"/>
    <w:rsid w:val="00F93E5B"/>
    <w:rsid w:val="00F940F9"/>
    <w:rsid w:val="00F95BAD"/>
    <w:rsid w:val="00FA2BA7"/>
    <w:rsid w:val="00FB07E5"/>
    <w:rsid w:val="00FB519D"/>
    <w:rsid w:val="00FC0E70"/>
    <w:rsid w:val="00FC1679"/>
    <w:rsid w:val="00FD0ABA"/>
    <w:rsid w:val="00FD2609"/>
    <w:rsid w:val="00FD4F9D"/>
    <w:rsid w:val="00FE1D7D"/>
    <w:rsid w:val="00FE6C3E"/>
    <w:rsid w:val="00FE7315"/>
    <w:rsid w:val="00FF0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48FDD"/>
  <w15:chartTrackingRefBased/>
  <w15:docId w15:val="{72B3DC39-D247-4683-BF22-EE701DB9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5146"/>
    <w:pPr>
      <w:spacing w:after="120"/>
    </w:pPr>
    <w:rPr>
      <w:rFonts w:ascii="Arial" w:hAnsi="Arial" w:cs="Arial"/>
      <w:sz w:val="20"/>
    </w:rPr>
  </w:style>
  <w:style w:type="paragraph" w:styleId="Heading1">
    <w:name w:val="heading 1"/>
    <w:basedOn w:val="Normal"/>
    <w:next w:val="Normal"/>
    <w:link w:val="Heading1Char"/>
    <w:uiPriority w:val="9"/>
    <w:qFormat/>
    <w:rsid w:val="00395446"/>
    <w:pPr>
      <w:keepNext/>
      <w:keepLines/>
      <w:numPr>
        <w:numId w:val="2"/>
      </w:numPr>
      <w:spacing w:before="120"/>
      <w:ind w:left="431" w:hanging="431"/>
      <w:outlineLvl w:val="0"/>
    </w:pPr>
    <w:rPr>
      <w:rFonts w:eastAsiaTheme="majorEastAsia"/>
      <w:color w:val="006BB7"/>
      <w:sz w:val="36"/>
      <w:szCs w:val="32"/>
    </w:rPr>
  </w:style>
  <w:style w:type="paragraph" w:styleId="Heading2">
    <w:name w:val="heading 2"/>
    <w:basedOn w:val="Normal"/>
    <w:next w:val="Normal"/>
    <w:link w:val="Heading2Char"/>
    <w:uiPriority w:val="9"/>
    <w:unhideWhenUsed/>
    <w:qFormat/>
    <w:rsid w:val="00395446"/>
    <w:pPr>
      <w:keepNext/>
      <w:keepLines/>
      <w:numPr>
        <w:ilvl w:val="1"/>
        <w:numId w:val="2"/>
      </w:numPr>
      <w:spacing w:before="120"/>
      <w:outlineLvl w:val="1"/>
    </w:pPr>
    <w:rPr>
      <w:rFonts w:eastAsiaTheme="majorEastAsia"/>
      <w:color w:val="006BB7"/>
      <w:sz w:val="32"/>
      <w:szCs w:val="26"/>
    </w:rPr>
  </w:style>
  <w:style w:type="paragraph" w:styleId="Heading3">
    <w:name w:val="heading 3"/>
    <w:basedOn w:val="Normal"/>
    <w:next w:val="Normal"/>
    <w:link w:val="Heading3Char"/>
    <w:uiPriority w:val="9"/>
    <w:unhideWhenUsed/>
    <w:qFormat/>
    <w:rsid w:val="00B442A5"/>
    <w:pPr>
      <w:keepNext/>
      <w:keepLines/>
      <w:numPr>
        <w:ilvl w:val="2"/>
        <w:numId w:val="2"/>
      </w:numPr>
      <w:spacing w:before="40"/>
      <w:outlineLvl w:val="2"/>
    </w:pPr>
    <w:rPr>
      <w:rFonts w:eastAsiaTheme="majorEastAsia"/>
      <w:color w:val="006BB7"/>
      <w:sz w:val="24"/>
      <w:szCs w:val="24"/>
    </w:rPr>
  </w:style>
  <w:style w:type="paragraph" w:styleId="Heading4">
    <w:name w:val="heading 4"/>
    <w:basedOn w:val="Normal"/>
    <w:next w:val="Normal"/>
    <w:link w:val="Heading4Char"/>
    <w:uiPriority w:val="9"/>
    <w:unhideWhenUsed/>
    <w:qFormat/>
    <w:rsid w:val="00B442A5"/>
    <w:pPr>
      <w:keepNext/>
      <w:keepLines/>
      <w:numPr>
        <w:ilvl w:val="3"/>
        <w:numId w:val="2"/>
      </w:numPr>
      <w:spacing w:before="40"/>
      <w:ind w:left="862" w:hanging="862"/>
      <w:outlineLvl w:val="3"/>
    </w:pPr>
    <w:rPr>
      <w:rFonts w:eastAsiaTheme="majorEastAsia"/>
      <w:iCs/>
      <w:color w:val="006BB7"/>
    </w:rPr>
  </w:style>
  <w:style w:type="paragraph" w:styleId="Heading5">
    <w:name w:val="heading 5"/>
    <w:basedOn w:val="Normal"/>
    <w:next w:val="Normal"/>
    <w:link w:val="Heading5Char"/>
    <w:uiPriority w:val="9"/>
    <w:semiHidden/>
    <w:unhideWhenUsed/>
    <w:rsid w:val="00ED6F0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6F0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6F0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6F0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6F0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BB0"/>
    <w:rPr>
      <w:rFonts w:ascii="Segoe UI" w:hAnsi="Segoe UI" w:cs="Segoe UI"/>
      <w:sz w:val="18"/>
      <w:szCs w:val="18"/>
    </w:rPr>
  </w:style>
  <w:style w:type="paragraph" w:styleId="Header">
    <w:name w:val="header"/>
    <w:basedOn w:val="Normal"/>
    <w:link w:val="HeaderChar"/>
    <w:uiPriority w:val="99"/>
    <w:unhideWhenUsed/>
    <w:rsid w:val="00554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7FA"/>
  </w:style>
  <w:style w:type="paragraph" w:styleId="Footer">
    <w:name w:val="footer"/>
    <w:basedOn w:val="Normal"/>
    <w:link w:val="FooterChar"/>
    <w:uiPriority w:val="99"/>
    <w:unhideWhenUsed/>
    <w:rsid w:val="00554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7FA"/>
  </w:style>
  <w:style w:type="character" w:styleId="CommentReference">
    <w:name w:val="annotation reference"/>
    <w:basedOn w:val="DefaultParagraphFont"/>
    <w:uiPriority w:val="99"/>
    <w:semiHidden/>
    <w:unhideWhenUsed/>
    <w:rsid w:val="005547FA"/>
    <w:rPr>
      <w:sz w:val="16"/>
      <w:szCs w:val="16"/>
    </w:rPr>
  </w:style>
  <w:style w:type="paragraph" w:styleId="CommentText">
    <w:name w:val="annotation text"/>
    <w:basedOn w:val="Normal"/>
    <w:link w:val="CommentTextChar"/>
    <w:uiPriority w:val="99"/>
    <w:unhideWhenUsed/>
    <w:rsid w:val="005547FA"/>
    <w:pPr>
      <w:spacing w:line="240" w:lineRule="auto"/>
    </w:pPr>
    <w:rPr>
      <w:szCs w:val="20"/>
    </w:rPr>
  </w:style>
  <w:style w:type="character" w:customStyle="1" w:styleId="CommentTextChar">
    <w:name w:val="Comment Text Char"/>
    <w:basedOn w:val="DefaultParagraphFont"/>
    <w:link w:val="CommentText"/>
    <w:uiPriority w:val="99"/>
    <w:rsid w:val="005547FA"/>
    <w:rPr>
      <w:sz w:val="20"/>
      <w:szCs w:val="20"/>
    </w:rPr>
  </w:style>
  <w:style w:type="paragraph" w:styleId="CommentSubject">
    <w:name w:val="annotation subject"/>
    <w:basedOn w:val="CommentText"/>
    <w:next w:val="CommentText"/>
    <w:link w:val="CommentSubjectChar"/>
    <w:uiPriority w:val="99"/>
    <w:semiHidden/>
    <w:unhideWhenUsed/>
    <w:rsid w:val="005547FA"/>
    <w:rPr>
      <w:b/>
      <w:bCs/>
    </w:rPr>
  </w:style>
  <w:style w:type="character" w:customStyle="1" w:styleId="CommentSubjectChar">
    <w:name w:val="Comment Subject Char"/>
    <w:basedOn w:val="CommentTextChar"/>
    <w:link w:val="CommentSubject"/>
    <w:uiPriority w:val="99"/>
    <w:semiHidden/>
    <w:rsid w:val="005547FA"/>
    <w:rPr>
      <w:b/>
      <w:bCs/>
      <w:sz w:val="20"/>
      <w:szCs w:val="20"/>
    </w:rPr>
  </w:style>
  <w:style w:type="table" w:styleId="TableGrid">
    <w:name w:val="Table Grid"/>
    <w:basedOn w:val="TableNormal"/>
    <w:uiPriority w:val="39"/>
    <w:rsid w:val="00554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L"/>
    <w:basedOn w:val="Normal"/>
    <w:link w:val="ListParagraphChar"/>
    <w:uiPriority w:val="34"/>
    <w:qFormat/>
    <w:rsid w:val="00ED6F02"/>
    <w:pPr>
      <w:ind w:left="720"/>
      <w:contextualSpacing/>
    </w:pPr>
  </w:style>
  <w:style w:type="character" w:customStyle="1" w:styleId="Heading1Char">
    <w:name w:val="Heading 1 Char"/>
    <w:basedOn w:val="DefaultParagraphFont"/>
    <w:link w:val="Heading1"/>
    <w:uiPriority w:val="9"/>
    <w:rsid w:val="00395446"/>
    <w:rPr>
      <w:rFonts w:ascii="Arial" w:eastAsiaTheme="majorEastAsia" w:hAnsi="Arial" w:cs="Arial"/>
      <w:color w:val="006BB7"/>
      <w:sz w:val="36"/>
      <w:szCs w:val="32"/>
    </w:rPr>
  </w:style>
  <w:style w:type="character" w:customStyle="1" w:styleId="Heading2Char">
    <w:name w:val="Heading 2 Char"/>
    <w:basedOn w:val="DefaultParagraphFont"/>
    <w:link w:val="Heading2"/>
    <w:uiPriority w:val="9"/>
    <w:rsid w:val="00395446"/>
    <w:rPr>
      <w:rFonts w:ascii="Arial" w:eastAsiaTheme="majorEastAsia" w:hAnsi="Arial" w:cs="Arial"/>
      <w:color w:val="006BB7"/>
      <w:sz w:val="32"/>
      <w:szCs w:val="26"/>
    </w:rPr>
  </w:style>
  <w:style w:type="character" w:customStyle="1" w:styleId="Heading3Char">
    <w:name w:val="Heading 3 Char"/>
    <w:basedOn w:val="DefaultParagraphFont"/>
    <w:link w:val="Heading3"/>
    <w:uiPriority w:val="9"/>
    <w:rsid w:val="00B442A5"/>
    <w:rPr>
      <w:rFonts w:ascii="Arial" w:eastAsiaTheme="majorEastAsia" w:hAnsi="Arial" w:cs="Arial"/>
      <w:color w:val="006BB7"/>
      <w:sz w:val="24"/>
      <w:szCs w:val="24"/>
    </w:rPr>
  </w:style>
  <w:style w:type="character" w:customStyle="1" w:styleId="Heading4Char">
    <w:name w:val="Heading 4 Char"/>
    <w:basedOn w:val="DefaultParagraphFont"/>
    <w:link w:val="Heading4"/>
    <w:uiPriority w:val="9"/>
    <w:rsid w:val="00B442A5"/>
    <w:rPr>
      <w:rFonts w:ascii="Arial" w:eastAsiaTheme="majorEastAsia" w:hAnsi="Arial" w:cs="Arial"/>
      <w:iCs/>
      <w:color w:val="006BB7"/>
      <w:sz w:val="20"/>
    </w:rPr>
  </w:style>
  <w:style w:type="character" w:customStyle="1" w:styleId="Heading5Char">
    <w:name w:val="Heading 5 Char"/>
    <w:basedOn w:val="DefaultParagraphFont"/>
    <w:link w:val="Heading5"/>
    <w:uiPriority w:val="9"/>
    <w:semiHidden/>
    <w:rsid w:val="00ED6F02"/>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ED6F02"/>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ED6F02"/>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ED6F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6F02"/>
    <w:rPr>
      <w:rFonts w:asciiTheme="majorHAnsi" w:eastAsiaTheme="majorEastAsia" w:hAnsiTheme="majorHAnsi" w:cstheme="majorBidi"/>
      <w:i/>
      <w:iCs/>
      <w:color w:val="272727" w:themeColor="text1" w:themeTint="D8"/>
      <w:sz w:val="21"/>
      <w:szCs w:val="21"/>
    </w:rPr>
  </w:style>
  <w:style w:type="table" w:styleId="GridTable4-Accent5">
    <w:name w:val="Grid Table 4 Accent 5"/>
    <w:basedOn w:val="TableNormal"/>
    <w:uiPriority w:val="49"/>
    <w:rsid w:val="00B442A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icardotable">
    <w:name w:val="Ricardo table"/>
    <w:basedOn w:val="TableGrid1"/>
    <w:uiPriority w:val="99"/>
    <w:rsid w:val="00A8110E"/>
    <w:pPr>
      <w:spacing w:before="60" w:after="60" w:line="240" w:lineRule="auto"/>
      <w:jc w:val="center"/>
    </w:pPr>
    <w:rPr>
      <w:rFonts w:ascii="Arial" w:hAnsi="Arial"/>
      <w:sz w:val="18"/>
      <w:szCs w:val="20"/>
      <w:lang w:eastAsia="en-GB"/>
    </w:rPr>
    <w:tblPr>
      <w:tblStyleRowBandSize w:val="1"/>
      <w:tblBorders>
        <w:top w:val="single" w:sz="4" w:space="0" w:color="006BB7"/>
        <w:left w:val="single" w:sz="4" w:space="0" w:color="006BB7"/>
        <w:bottom w:val="single" w:sz="4" w:space="0" w:color="006BB7"/>
        <w:right w:val="single" w:sz="4" w:space="0" w:color="006BB7"/>
        <w:insideH w:val="none" w:sz="0" w:space="0" w:color="auto"/>
        <w:insideV w:val="single" w:sz="4" w:space="0" w:color="006BB7"/>
      </w:tblBorders>
    </w:tblPr>
    <w:tcPr>
      <w:shd w:val="clear" w:color="auto" w:fill="auto"/>
      <w:vAlign w:val="center"/>
    </w:tcPr>
    <w:tblStylePr w:type="firstRow">
      <w:rPr>
        <w:rFonts w:ascii="Arial" w:hAnsi="Arial"/>
        <w:color w:val="FFFFFF" w:themeColor="background1"/>
      </w:rPr>
      <w:tblPr/>
      <w:tcPr>
        <w:shd w:val="clear" w:color="auto" w:fill="006BB7"/>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EAF2FA"/>
      </w:tcPr>
    </w:tblStylePr>
  </w:style>
  <w:style w:type="paragraph" w:styleId="Caption">
    <w:name w:val="caption"/>
    <w:basedOn w:val="Normal"/>
    <w:next w:val="Normal"/>
    <w:uiPriority w:val="35"/>
    <w:unhideWhenUsed/>
    <w:qFormat/>
    <w:rsid w:val="00CA4906"/>
    <w:pPr>
      <w:keepNext/>
      <w:spacing w:line="240" w:lineRule="auto"/>
    </w:pPr>
    <w:rPr>
      <w:iCs/>
      <w:color w:val="006BB7"/>
      <w:szCs w:val="18"/>
    </w:rPr>
  </w:style>
  <w:style w:type="table" w:customStyle="1" w:styleId="Highlightbox">
    <w:name w:val="Highlight box"/>
    <w:basedOn w:val="TableNormal"/>
    <w:uiPriority w:val="99"/>
    <w:rsid w:val="00794E6A"/>
    <w:pPr>
      <w:spacing w:before="120" w:after="120" w:line="240" w:lineRule="auto"/>
    </w:pPr>
    <w:tblPr/>
    <w:tblStylePr w:type="firstRow">
      <w:pPr>
        <w:wordWrap/>
        <w:jc w:val="left"/>
      </w:pPr>
      <w:rPr>
        <w:rFonts w:ascii="Arial" w:hAnsi="Arial"/>
        <w:sz w:val="20"/>
      </w:rPr>
      <w:tblPr/>
      <w:tcPr>
        <w:tcBorders>
          <w:top w:val="single" w:sz="4" w:space="0" w:color="006BB7"/>
          <w:bottom w:val="single" w:sz="4" w:space="0" w:color="006BB7"/>
        </w:tcBorders>
        <w:shd w:val="clear" w:color="auto" w:fill="D9E2F3" w:themeFill="accent1" w:themeFillTint="33"/>
        <w:vAlign w:val="center"/>
      </w:tcPr>
    </w:tblStylePr>
    <w:tblStylePr w:type="lastRow">
      <w:tblPr/>
      <w:tcPr>
        <w:shd w:val="clear" w:color="auto" w:fill="D9E2F3" w:themeFill="accent1" w:themeFillTint="33"/>
      </w:tcPr>
    </w:tblStylePr>
  </w:style>
  <w:style w:type="table" w:styleId="TableGrid1">
    <w:name w:val="Table Grid 1"/>
    <w:basedOn w:val="TableNormal"/>
    <w:uiPriority w:val="99"/>
    <w:semiHidden/>
    <w:unhideWhenUsed/>
    <w:rsid w:val="00B442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Heading">
    <w:name w:val="TOC Heading"/>
    <w:aliases w:val="Exec sum / TOC Heading"/>
    <w:basedOn w:val="Normal"/>
    <w:next w:val="Normal"/>
    <w:uiPriority w:val="39"/>
    <w:unhideWhenUsed/>
    <w:qFormat/>
    <w:rsid w:val="00524800"/>
    <w:rPr>
      <w:color w:val="006BB7"/>
      <w:sz w:val="40"/>
    </w:rPr>
  </w:style>
  <w:style w:type="paragraph" w:styleId="TOC1">
    <w:name w:val="toc 1"/>
    <w:basedOn w:val="Normal"/>
    <w:next w:val="Normal"/>
    <w:autoRedefine/>
    <w:uiPriority w:val="39"/>
    <w:unhideWhenUsed/>
    <w:rsid w:val="003B58F6"/>
    <w:pPr>
      <w:tabs>
        <w:tab w:val="left" w:pos="440"/>
        <w:tab w:val="right" w:leader="dot" w:pos="9016"/>
      </w:tabs>
      <w:spacing w:after="100"/>
    </w:pPr>
    <w:rPr>
      <w:b/>
      <w:noProof/>
      <w:color w:val="006BB7"/>
      <w:sz w:val="24"/>
    </w:rPr>
  </w:style>
  <w:style w:type="paragraph" w:styleId="TOC2">
    <w:name w:val="toc 2"/>
    <w:basedOn w:val="Normal"/>
    <w:next w:val="Normal"/>
    <w:autoRedefine/>
    <w:uiPriority w:val="39"/>
    <w:unhideWhenUsed/>
    <w:rsid w:val="009010EE"/>
    <w:pPr>
      <w:spacing w:after="100"/>
      <w:ind w:left="200"/>
    </w:pPr>
  </w:style>
  <w:style w:type="paragraph" w:styleId="TOC3">
    <w:name w:val="toc 3"/>
    <w:basedOn w:val="Normal"/>
    <w:next w:val="Normal"/>
    <w:autoRedefine/>
    <w:uiPriority w:val="39"/>
    <w:unhideWhenUsed/>
    <w:rsid w:val="00794E6A"/>
    <w:pPr>
      <w:spacing w:after="100"/>
      <w:ind w:left="400"/>
    </w:pPr>
  </w:style>
  <w:style w:type="character" w:styleId="Hyperlink">
    <w:name w:val="Hyperlink"/>
    <w:basedOn w:val="DefaultParagraphFont"/>
    <w:uiPriority w:val="99"/>
    <w:unhideWhenUsed/>
    <w:rsid w:val="00794E6A"/>
    <w:rPr>
      <w:color w:val="0563C1" w:themeColor="hyperlink"/>
      <w:u w:val="single"/>
    </w:rPr>
  </w:style>
  <w:style w:type="paragraph" w:styleId="FootnoteText">
    <w:name w:val="footnote text"/>
    <w:basedOn w:val="Normal"/>
    <w:link w:val="FootnoteTextChar"/>
    <w:uiPriority w:val="99"/>
    <w:semiHidden/>
    <w:unhideWhenUsed/>
    <w:rsid w:val="00043172"/>
    <w:pPr>
      <w:spacing w:after="0" w:line="240" w:lineRule="auto"/>
    </w:pPr>
    <w:rPr>
      <w:szCs w:val="20"/>
    </w:rPr>
  </w:style>
  <w:style w:type="character" w:customStyle="1" w:styleId="FootnoteTextChar">
    <w:name w:val="Footnote Text Char"/>
    <w:basedOn w:val="DefaultParagraphFont"/>
    <w:link w:val="FootnoteText"/>
    <w:uiPriority w:val="99"/>
    <w:semiHidden/>
    <w:rsid w:val="00043172"/>
    <w:rPr>
      <w:rFonts w:ascii="Arial" w:hAnsi="Arial" w:cs="Arial"/>
      <w:sz w:val="20"/>
      <w:szCs w:val="20"/>
    </w:rPr>
  </w:style>
  <w:style w:type="character" w:styleId="FootnoteReference">
    <w:name w:val="footnote reference"/>
    <w:basedOn w:val="DefaultParagraphFont"/>
    <w:uiPriority w:val="99"/>
    <w:semiHidden/>
    <w:unhideWhenUsed/>
    <w:rsid w:val="00043172"/>
    <w:rPr>
      <w:vertAlign w:val="superscript"/>
    </w:rPr>
  </w:style>
  <w:style w:type="character" w:customStyle="1" w:styleId="UnresolvedMention1">
    <w:name w:val="Unresolved Mention1"/>
    <w:basedOn w:val="DefaultParagraphFont"/>
    <w:uiPriority w:val="99"/>
    <w:unhideWhenUsed/>
    <w:rsid w:val="004803F6"/>
    <w:rPr>
      <w:color w:val="605E5C"/>
      <w:shd w:val="clear" w:color="auto" w:fill="E1DFDD"/>
    </w:rPr>
  </w:style>
  <w:style w:type="table" w:customStyle="1" w:styleId="Style1">
    <w:name w:val="Style1"/>
    <w:basedOn w:val="TableNormal"/>
    <w:uiPriority w:val="99"/>
    <w:rsid w:val="00A8110E"/>
    <w:pPr>
      <w:spacing w:after="0" w:line="240" w:lineRule="auto"/>
    </w:pPr>
    <w:tblPr>
      <w:tblStyleRowBandSize w:val="1"/>
    </w:tblPr>
  </w:style>
  <w:style w:type="paragraph" w:styleId="TableofFigures">
    <w:name w:val="table of figures"/>
    <w:basedOn w:val="Normal"/>
    <w:next w:val="Normal"/>
    <w:uiPriority w:val="99"/>
    <w:unhideWhenUsed/>
    <w:rsid w:val="00524800"/>
    <w:pPr>
      <w:spacing w:after="0"/>
    </w:pPr>
  </w:style>
  <w:style w:type="paragraph" w:styleId="Bibliography">
    <w:name w:val="Bibliography"/>
    <w:basedOn w:val="Normal"/>
    <w:next w:val="Normal"/>
    <w:uiPriority w:val="37"/>
    <w:unhideWhenUsed/>
    <w:rsid w:val="000B1929"/>
  </w:style>
  <w:style w:type="paragraph" w:customStyle="1" w:styleId="TableFigureFootnote">
    <w:name w:val="TableFigure Footnote"/>
    <w:basedOn w:val="Normal"/>
    <w:link w:val="TableFigureFootnoteChar"/>
    <w:qFormat/>
    <w:rsid w:val="00116C9C"/>
    <w:pPr>
      <w:spacing w:before="60"/>
    </w:pPr>
    <w:rPr>
      <w:i/>
      <w:sz w:val="18"/>
    </w:rPr>
  </w:style>
  <w:style w:type="character" w:customStyle="1" w:styleId="TableFigureFootnoteChar">
    <w:name w:val="TableFigure Footnote Char"/>
    <w:basedOn w:val="DefaultParagraphFont"/>
    <w:link w:val="TableFigureFootnote"/>
    <w:rsid w:val="00116C9C"/>
    <w:rPr>
      <w:rFonts w:ascii="Arial" w:hAnsi="Arial" w:cs="Arial"/>
      <w:i/>
      <w:sz w:val="18"/>
    </w:rPr>
  </w:style>
  <w:style w:type="paragraph" w:customStyle="1" w:styleId="AppendixHeadingLevel1">
    <w:name w:val="Appendix Heading Level 1"/>
    <w:next w:val="Normal"/>
    <w:link w:val="AppendixHeadingLevel1Char"/>
    <w:uiPriority w:val="10"/>
    <w:qFormat/>
    <w:rsid w:val="00E62CE6"/>
    <w:pPr>
      <w:keepNext/>
      <w:pageBreakBefore/>
      <w:numPr>
        <w:numId w:val="7"/>
      </w:numPr>
      <w:spacing w:before="120" w:after="120"/>
      <w:ind w:left="431" w:hanging="431"/>
      <w:outlineLvl w:val="0"/>
    </w:pPr>
    <w:rPr>
      <w:rFonts w:ascii="Arial" w:eastAsia="Times New Roman" w:hAnsi="Arial" w:cs="Arial"/>
      <w:bCs/>
      <w:color w:val="006BB7"/>
      <w:sz w:val="36"/>
      <w:szCs w:val="32"/>
    </w:rPr>
  </w:style>
  <w:style w:type="character" w:customStyle="1" w:styleId="AppendixHeadingLevel1Char">
    <w:name w:val="Appendix Heading Level 1 Char"/>
    <w:basedOn w:val="Heading1Char"/>
    <w:link w:val="AppendixHeadingLevel1"/>
    <w:uiPriority w:val="10"/>
    <w:rsid w:val="00E62CE6"/>
    <w:rPr>
      <w:rFonts w:ascii="Arial" w:eastAsia="Times New Roman" w:hAnsi="Arial" w:cs="Arial"/>
      <w:bCs/>
      <w:color w:val="006BB7"/>
      <w:sz w:val="36"/>
      <w:szCs w:val="32"/>
    </w:rPr>
  </w:style>
  <w:style w:type="paragraph" w:customStyle="1" w:styleId="AppendixHeadingLevel2">
    <w:name w:val="Appendix Heading Level 2"/>
    <w:basedOn w:val="Heading2"/>
    <w:next w:val="Normal"/>
    <w:link w:val="AppendixHeadingLevel2Char"/>
    <w:uiPriority w:val="10"/>
    <w:qFormat/>
    <w:rsid w:val="00E62CE6"/>
    <w:pPr>
      <w:keepLines w:val="0"/>
      <w:numPr>
        <w:numId w:val="7"/>
      </w:numPr>
      <w:spacing w:before="240" w:line="240" w:lineRule="auto"/>
    </w:pPr>
    <w:rPr>
      <w:rFonts w:eastAsia="Times New Roman"/>
      <w:bCs/>
      <w:iCs/>
      <w:szCs w:val="28"/>
    </w:rPr>
  </w:style>
  <w:style w:type="character" w:customStyle="1" w:styleId="AppendixHeadingLevel2Char">
    <w:name w:val="Appendix Heading Level 2 Char"/>
    <w:basedOn w:val="Heading2Char"/>
    <w:link w:val="AppendixHeadingLevel2"/>
    <w:uiPriority w:val="10"/>
    <w:rsid w:val="00E62CE6"/>
    <w:rPr>
      <w:rFonts w:ascii="Arial" w:eastAsia="Times New Roman" w:hAnsi="Arial" w:cs="Arial"/>
      <w:bCs/>
      <w:iCs/>
      <w:color w:val="006BB7"/>
      <w:sz w:val="32"/>
      <w:szCs w:val="28"/>
    </w:rPr>
  </w:style>
  <w:style w:type="paragraph" w:customStyle="1" w:styleId="AppendixHeadingLevel3">
    <w:name w:val="Appendix Heading Level 3"/>
    <w:basedOn w:val="Heading3"/>
    <w:next w:val="Normal"/>
    <w:link w:val="AppendixHeadingLevel3Char"/>
    <w:uiPriority w:val="10"/>
    <w:qFormat/>
    <w:rsid w:val="00F60DCC"/>
    <w:pPr>
      <w:keepLines w:val="0"/>
      <w:numPr>
        <w:numId w:val="7"/>
      </w:numPr>
      <w:spacing w:before="120" w:line="305" w:lineRule="auto"/>
      <w:ind w:left="612" w:hanging="612"/>
    </w:pPr>
    <w:rPr>
      <w:rFonts w:eastAsia="Times New Roman"/>
      <w:bCs/>
      <w:szCs w:val="26"/>
    </w:rPr>
  </w:style>
  <w:style w:type="character" w:customStyle="1" w:styleId="AppendixHeadingLevel3Char">
    <w:name w:val="Appendix Heading Level 3 Char"/>
    <w:basedOn w:val="Heading4Char"/>
    <w:link w:val="AppendixHeadingLevel3"/>
    <w:uiPriority w:val="10"/>
    <w:rsid w:val="00F60DCC"/>
    <w:rPr>
      <w:rFonts w:ascii="Arial" w:eastAsia="Times New Roman" w:hAnsi="Arial" w:cs="Arial"/>
      <w:bCs/>
      <w:iCs w:val="0"/>
      <w:color w:val="006BB7"/>
      <w:sz w:val="24"/>
      <w:szCs w:val="26"/>
    </w:rPr>
  </w:style>
  <w:style w:type="paragraph" w:customStyle="1" w:styleId="AppendixHeadingLevel4">
    <w:name w:val="Appendix Heading Level 4"/>
    <w:basedOn w:val="AppendixHeadingLevel3"/>
    <w:next w:val="Normal"/>
    <w:link w:val="AppendixHeadingLevel4Char"/>
    <w:uiPriority w:val="10"/>
    <w:qFormat/>
    <w:rsid w:val="00C72CA3"/>
    <w:pPr>
      <w:numPr>
        <w:ilvl w:val="3"/>
      </w:numPr>
      <w:tabs>
        <w:tab w:val="left" w:pos="993"/>
      </w:tabs>
      <w:spacing w:before="40" w:line="259" w:lineRule="auto"/>
      <w:ind w:left="862" w:hanging="862"/>
      <w:outlineLvl w:val="3"/>
    </w:pPr>
    <w:rPr>
      <w:sz w:val="20"/>
    </w:rPr>
  </w:style>
  <w:style w:type="character" w:customStyle="1" w:styleId="AppendixHeadingLevel4Char">
    <w:name w:val="Appendix Heading Level 4 Char"/>
    <w:basedOn w:val="AppendixHeadingLevel3Char"/>
    <w:link w:val="AppendixHeadingLevel4"/>
    <w:uiPriority w:val="10"/>
    <w:rsid w:val="00C72CA3"/>
    <w:rPr>
      <w:rFonts w:ascii="Arial" w:eastAsia="Times New Roman" w:hAnsi="Arial" w:cs="Arial"/>
      <w:bCs/>
      <w:iCs w:val="0"/>
      <w:color w:val="006BB7"/>
      <w:sz w:val="20"/>
      <w:szCs w:val="26"/>
    </w:rPr>
  </w:style>
  <w:style w:type="paragraph" w:customStyle="1" w:styleId="AppendixHeadingLevel5">
    <w:name w:val="Appendix Heading Level 5"/>
    <w:basedOn w:val="AppendixHeadingLevel4"/>
    <w:next w:val="Normal"/>
    <w:uiPriority w:val="10"/>
    <w:unhideWhenUsed/>
    <w:qFormat/>
    <w:rsid w:val="00E62CE6"/>
    <w:pPr>
      <w:numPr>
        <w:ilvl w:val="4"/>
      </w:numPr>
      <w:tabs>
        <w:tab w:val="clear" w:pos="993"/>
        <w:tab w:val="num" w:pos="360"/>
        <w:tab w:val="left" w:pos="1134"/>
      </w:tabs>
      <w:ind w:left="1134" w:hanging="1134"/>
      <w:outlineLvl w:val="4"/>
    </w:pPr>
    <w:rPr>
      <w:b/>
      <w:bCs w:val="0"/>
      <w:i/>
      <w:iCs/>
      <w:color w:val="auto"/>
    </w:rPr>
  </w:style>
  <w:style w:type="character" w:styleId="Mention">
    <w:name w:val="Mention"/>
    <w:basedOn w:val="DefaultParagraphFont"/>
    <w:uiPriority w:val="99"/>
    <w:unhideWhenUsed/>
    <w:rsid w:val="009662B9"/>
    <w:rPr>
      <w:color w:val="2B579A"/>
      <w:shd w:val="clear" w:color="auto" w:fill="E1DFDD"/>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L Char"/>
    <w:basedOn w:val="DefaultParagraphFont"/>
    <w:link w:val="ListParagraph"/>
    <w:uiPriority w:val="34"/>
    <w:qFormat/>
    <w:rsid w:val="00AB1720"/>
    <w:rPr>
      <w:rFonts w:ascii="Arial" w:hAnsi="Arial" w:cs="Arial"/>
      <w:sz w:val="20"/>
    </w:rPr>
  </w:style>
  <w:style w:type="table" w:customStyle="1" w:styleId="Mainbidtables1">
    <w:name w:val="Main bid tables1"/>
    <w:basedOn w:val="TableNormal"/>
    <w:uiPriority w:val="99"/>
    <w:rsid w:val="00AB1720"/>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styleId="Revision">
    <w:name w:val="Revision"/>
    <w:hidden/>
    <w:uiPriority w:val="99"/>
    <w:semiHidden/>
    <w:rsid w:val="007614DB"/>
    <w:pPr>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80329">
      <w:bodyDiv w:val="1"/>
      <w:marLeft w:val="0"/>
      <w:marRight w:val="0"/>
      <w:marTop w:val="0"/>
      <w:marBottom w:val="0"/>
      <w:divBdr>
        <w:top w:val="none" w:sz="0" w:space="0" w:color="auto"/>
        <w:left w:val="none" w:sz="0" w:space="0" w:color="auto"/>
        <w:bottom w:val="none" w:sz="0" w:space="0" w:color="auto"/>
        <w:right w:val="none" w:sz="0" w:space="0" w:color="auto"/>
      </w:divBdr>
      <w:divsChild>
        <w:div w:id="1542743845">
          <w:marLeft w:val="0"/>
          <w:marRight w:val="0"/>
          <w:marTop w:val="0"/>
          <w:marBottom w:val="0"/>
          <w:divBdr>
            <w:top w:val="none" w:sz="0" w:space="0" w:color="auto"/>
            <w:left w:val="none" w:sz="0" w:space="0" w:color="auto"/>
            <w:bottom w:val="none" w:sz="0" w:space="0" w:color="auto"/>
            <w:right w:val="none" w:sz="0" w:space="0" w:color="auto"/>
          </w:divBdr>
        </w:div>
      </w:divsChild>
    </w:div>
    <w:div w:id="578297587">
      <w:bodyDiv w:val="1"/>
      <w:marLeft w:val="0"/>
      <w:marRight w:val="0"/>
      <w:marTop w:val="0"/>
      <w:marBottom w:val="0"/>
      <w:divBdr>
        <w:top w:val="none" w:sz="0" w:space="0" w:color="auto"/>
        <w:left w:val="none" w:sz="0" w:space="0" w:color="auto"/>
        <w:bottom w:val="none" w:sz="0" w:space="0" w:color="auto"/>
        <w:right w:val="none" w:sz="0" w:space="0" w:color="auto"/>
      </w:divBdr>
    </w:div>
    <w:div w:id="945232036">
      <w:bodyDiv w:val="1"/>
      <w:marLeft w:val="0"/>
      <w:marRight w:val="0"/>
      <w:marTop w:val="0"/>
      <w:marBottom w:val="0"/>
      <w:divBdr>
        <w:top w:val="none" w:sz="0" w:space="0" w:color="auto"/>
        <w:left w:val="none" w:sz="0" w:space="0" w:color="auto"/>
        <w:bottom w:val="none" w:sz="0" w:space="0" w:color="auto"/>
        <w:right w:val="none" w:sz="0" w:space="0" w:color="auto"/>
      </w:divBdr>
    </w:div>
    <w:div w:id="1098864583">
      <w:bodyDiv w:val="1"/>
      <w:marLeft w:val="0"/>
      <w:marRight w:val="0"/>
      <w:marTop w:val="0"/>
      <w:marBottom w:val="0"/>
      <w:divBdr>
        <w:top w:val="none" w:sz="0" w:space="0" w:color="auto"/>
        <w:left w:val="none" w:sz="0" w:space="0" w:color="auto"/>
        <w:bottom w:val="none" w:sz="0" w:space="0" w:color="auto"/>
        <w:right w:val="none" w:sz="0" w:space="0" w:color="auto"/>
      </w:divBdr>
    </w:div>
    <w:div w:id="1366448429">
      <w:bodyDiv w:val="1"/>
      <w:marLeft w:val="0"/>
      <w:marRight w:val="0"/>
      <w:marTop w:val="0"/>
      <w:marBottom w:val="0"/>
      <w:divBdr>
        <w:top w:val="none" w:sz="0" w:space="0" w:color="auto"/>
        <w:left w:val="none" w:sz="0" w:space="0" w:color="auto"/>
        <w:bottom w:val="none" w:sz="0" w:space="0" w:color="auto"/>
        <w:right w:val="none" w:sz="0" w:space="0" w:color="auto"/>
      </w:divBdr>
    </w:div>
    <w:div w:id="1588536185">
      <w:bodyDiv w:val="1"/>
      <w:marLeft w:val="0"/>
      <w:marRight w:val="0"/>
      <w:marTop w:val="0"/>
      <w:marBottom w:val="0"/>
      <w:divBdr>
        <w:top w:val="none" w:sz="0" w:space="0" w:color="auto"/>
        <w:left w:val="none" w:sz="0" w:space="0" w:color="auto"/>
        <w:bottom w:val="none" w:sz="0" w:space="0" w:color="auto"/>
        <w:right w:val="none" w:sz="0" w:space="0" w:color="auto"/>
      </w:divBdr>
    </w:div>
    <w:div w:id="1917091064">
      <w:bodyDiv w:val="1"/>
      <w:marLeft w:val="0"/>
      <w:marRight w:val="0"/>
      <w:marTop w:val="0"/>
      <w:marBottom w:val="0"/>
      <w:divBdr>
        <w:top w:val="none" w:sz="0" w:space="0" w:color="auto"/>
        <w:left w:val="none" w:sz="0" w:space="0" w:color="auto"/>
        <w:bottom w:val="none" w:sz="0" w:space="0" w:color="auto"/>
        <w:right w:val="none" w:sz="0" w:space="0" w:color="auto"/>
      </w:divBdr>
    </w:div>
    <w:div w:id="2121410873">
      <w:bodyDiv w:val="1"/>
      <w:marLeft w:val="0"/>
      <w:marRight w:val="0"/>
      <w:marTop w:val="0"/>
      <w:marBottom w:val="0"/>
      <w:divBdr>
        <w:top w:val="none" w:sz="0" w:space="0" w:color="auto"/>
        <w:left w:val="none" w:sz="0" w:space="0" w:color="auto"/>
        <w:bottom w:val="none" w:sz="0" w:space="0" w:color="auto"/>
        <w:right w:val="none" w:sz="0" w:space="0" w:color="auto"/>
      </w:divBdr>
    </w:div>
    <w:div w:id="21219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law-topic/data-protection_en" TargetMode="External"/><Relationship Id="rId2" Type="http://schemas.openxmlformats.org/officeDocument/2006/relationships/hyperlink" Target="https://ec.europa.eu/environment/circular-economy/pdf/new_circular_economy_action_plan.pdf" TargetMode="External"/><Relationship Id="rId1" Type="http://schemas.openxmlformats.org/officeDocument/2006/relationships/hyperlink" Target="https://www.ellenmacarthurfoundation.org/circular-economy/what-is-the-circular-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Jan25</b:Tag>
    <b:SourceType>InternetSite</b:SourceType>
    <b:Guid>{1BC463E0-95BE-4F91-8384-17ECF4836614}</b:Guid>
    <b:Title>The joys of automatically referencing documents that you're allowed to reference</b:Title>
    <b:Year>2020</b:Year>
    <b:Author>
      <b:Author>
        <b:NameList>
          <b:Person>
            <b:Last>Smith</b:Last>
            <b:First>Jane</b:First>
            <b:Middle>and John</b:Middle>
          </b:Person>
        </b:NameList>
      </b:Author>
    </b:Author>
    <b:Publisher>Smithy Smith Smith</b:Publisher>
    <b:City>Anywhere</b:City>
    <b:InternetSiteTitle>website source name</b:InternetSiteTitle>
    <b:URL>www.referencelocation.com</b:URL>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87D3B914211DA4690539851AF11284A" ma:contentTypeVersion="18" ma:contentTypeDescription="Create a new document." ma:contentTypeScope="" ma:versionID="31a608db3f0edf3804413dffd3b51692">
  <xsd:schema xmlns:xsd="http://www.w3.org/2001/XMLSchema" xmlns:xs="http://www.w3.org/2001/XMLSchema" xmlns:p="http://schemas.microsoft.com/office/2006/metadata/properties" xmlns:ns2="25b506d0-762b-47aa-adb6-8b80fc2be8cf" xmlns:ns3="14cfccfe-d05c-4ace-ac9c-889a36918eb7" targetNamespace="http://schemas.microsoft.com/office/2006/metadata/properties" ma:root="true" ma:fieldsID="419fb34aa60f57d0f17434f66b929f18" ns2:_="" ns3:_="">
    <xsd:import namespace="25b506d0-762b-47aa-adb6-8b80fc2be8cf"/>
    <xsd:import namespace="14cfccfe-d05c-4ace-ac9c-889a36918eb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Version0" minOccurs="0"/>
                <xsd:element ref="ns3:Version_x003a_Version" minOccurs="0"/>
                <xsd:element ref="ns3:Membe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06d0-762b-47aa-adb6-8b80fc2be8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fccfe-d05c-4ace-ac9c-889a36918eb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Version0" ma:index="22" nillable="true" ma:displayName="Version" ma:list="{727145e8-1f71-402e-9ff5-87f3840ee372}" ma:internalName="Version0" ma:showField="Title">
      <xsd:simpleType>
        <xsd:restriction base="dms:Lookup"/>
      </xsd:simpleType>
    </xsd:element>
    <xsd:element name="Version_x003a_Version" ma:index="23" nillable="true" ma:displayName="Version:Version" ma:list="{727145e8-1f71-402e-9ff5-87f3840ee372}" ma:internalName="Version_x003a_Version" ma:readOnly="true" ma:showField="_UIVersionString" ma:web="25b506d0-762b-47aa-adb6-8b80fc2be8cf">
      <xsd:simpleType>
        <xsd:restriction base="dms:Lookup"/>
      </xsd:simpleType>
    </xsd:element>
    <xsd:element name="Member" ma:index="24" nillable="true" ma:displayName="Member" ma:format="Dropdown" ma:list="UserInfo" ma:SharePointGroup="0" ma:internalName="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0 xmlns="14cfccfe-d05c-4ace-ac9c-889a36918eb7" xsi:nil="true"/>
    <Member xmlns="14cfccfe-d05c-4ace-ac9c-889a36918eb7">
      <UserInfo>
        <DisplayName/>
        <AccountId xsi:nil="true"/>
        <AccountType/>
      </UserInfo>
    </Member>
  </documentManagement>
</p:properties>
</file>

<file path=customXml/itemProps1.xml><?xml version="1.0" encoding="utf-8"?>
<ds:datastoreItem xmlns:ds="http://schemas.openxmlformats.org/officeDocument/2006/customXml" ds:itemID="{4EC65EB8-BE33-461D-A83C-C9C68B299161}">
  <ds:schemaRefs>
    <ds:schemaRef ds:uri="http://schemas.microsoft.com/sharepoint/v3/contenttype/forms"/>
  </ds:schemaRefs>
</ds:datastoreItem>
</file>

<file path=customXml/itemProps2.xml><?xml version="1.0" encoding="utf-8"?>
<ds:datastoreItem xmlns:ds="http://schemas.openxmlformats.org/officeDocument/2006/customXml" ds:itemID="{9885B0F5-6E08-A344-B466-E0685EF17327}">
  <ds:schemaRefs>
    <ds:schemaRef ds:uri="http://schemas.openxmlformats.org/officeDocument/2006/bibliography"/>
  </ds:schemaRefs>
</ds:datastoreItem>
</file>

<file path=customXml/itemProps3.xml><?xml version="1.0" encoding="utf-8"?>
<ds:datastoreItem xmlns:ds="http://schemas.openxmlformats.org/officeDocument/2006/customXml" ds:itemID="{6790AED9-29EE-44A4-A126-893E87AE2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506d0-762b-47aa-adb6-8b80fc2be8cf"/>
    <ds:schemaRef ds:uri="14cfccfe-d05c-4ace-ac9c-889a36918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C4CBD-DA58-46B7-8F72-1FDE2BABEF14}">
  <ds:schemaRefs>
    <ds:schemaRef ds:uri="http://schemas.microsoft.com/office/2006/metadata/properties"/>
    <ds:schemaRef ds:uri="http://schemas.microsoft.com/office/infopath/2007/PartnerControls"/>
    <ds:schemaRef ds:uri="14cfccfe-d05c-4ace-ac9c-889a36918eb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Links>
    <vt:vector size="30" baseType="variant">
      <vt:variant>
        <vt:i4>1376358</vt:i4>
      </vt:variant>
      <vt:variant>
        <vt:i4>6</vt:i4>
      </vt:variant>
      <vt:variant>
        <vt:i4>0</vt:i4>
      </vt:variant>
      <vt:variant>
        <vt:i4>5</vt:i4>
      </vt:variant>
      <vt:variant>
        <vt:lpwstr>https://ec.europa.eu/info/law/law-topic/data-protection_en</vt:lpwstr>
      </vt:variant>
      <vt:variant>
        <vt:lpwstr/>
      </vt:variant>
      <vt:variant>
        <vt:i4>8323107</vt:i4>
      </vt:variant>
      <vt:variant>
        <vt:i4>3</vt:i4>
      </vt:variant>
      <vt:variant>
        <vt:i4>0</vt:i4>
      </vt:variant>
      <vt:variant>
        <vt:i4>5</vt:i4>
      </vt:variant>
      <vt:variant>
        <vt:lpwstr>https://ec.europa.eu/environment/circular-economy/pdf/new_circular_economy_action_plan.pdf</vt:lpwstr>
      </vt:variant>
      <vt:variant>
        <vt:lpwstr/>
      </vt:variant>
      <vt:variant>
        <vt:i4>3801120</vt:i4>
      </vt:variant>
      <vt:variant>
        <vt:i4>0</vt:i4>
      </vt:variant>
      <vt:variant>
        <vt:i4>0</vt:i4>
      </vt:variant>
      <vt:variant>
        <vt:i4>5</vt:i4>
      </vt:variant>
      <vt:variant>
        <vt:lpwstr>https://www.ellenmacarthurfoundation.org/circular-economy/what-is-the-circular-economy</vt:lpwstr>
      </vt:variant>
      <vt:variant>
        <vt:lpwstr/>
      </vt:variant>
      <vt:variant>
        <vt:i4>1507450</vt:i4>
      </vt:variant>
      <vt:variant>
        <vt:i4>3</vt:i4>
      </vt:variant>
      <vt:variant>
        <vt:i4>0</vt:i4>
      </vt:variant>
      <vt:variant>
        <vt:i4>5</vt:i4>
      </vt:variant>
      <vt:variant>
        <vt:lpwstr>mailto:Andreea.Beznea@trinomics.eu</vt:lpwstr>
      </vt:variant>
      <vt:variant>
        <vt:lpwstr/>
      </vt:variant>
      <vt:variant>
        <vt:i4>1507450</vt:i4>
      </vt:variant>
      <vt:variant>
        <vt:i4>0</vt:i4>
      </vt:variant>
      <vt:variant>
        <vt:i4>0</vt:i4>
      </vt:variant>
      <vt:variant>
        <vt:i4>5</vt:i4>
      </vt:variant>
      <vt:variant>
        <vt:lpwstr>mailto:Andreea.Beznea@trinomics.eu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Beznea</dc:creator>
  <cp:keywords/>
  <dc:description/>
  <cp:lastModifiedBy>Julia Blees</cp:lastModifiedBy>
  <cp:revision>3</cp:revision>
  <dcterms:created xsi:type="dcterms:W3CDTF">2021-07-19T09:22:00Z</dcterms:created>
  <dcterms:modified xsi:type="dcterms:W3CDTF">2021-07-19T09:23:00Z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0x010100887D3B914211DA4690539851AF11284A</vt:lpwstr>
  </property>
</Properties>
</file>